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32A90">
      <w:pPr>
        <w:pStyle w:val="64"/>
        <w:spacing w:line="360" w:lineRule="auto"/>
        <w:rPr>
          <w:spacing w:val="-10"/>
          <w:sz w:val="40"/>
          <w:szCs w:val="40"/>
        </w:rPr>
      </w:pPr>
      <w:bookmarkStart w:id="0" w:name="_Toc438267899"/>
      <w:bookmarkStart w:id="1" w:name="_Toc470507659"/>
      <w:bookmarkStart w:id="2" w:name="_Toc438366666"/>
      <w:bookmarkStart w:id="3" w:name="_Toc438266925"/>
      <w:r>
        <w:rPr>
          <w:spacing w:val="-10"/>
          <w:sz w:val="40"/>
          <w:szCs w:val="40"/>
        </w:rPr>
        <w:t>Section 3 - Evaluation and Qualification Criteria</w:t>
      </w:r>
      <w:bookmarkEnd w:id="0"/>
      <w:bookmarkEnd w:id="1"/>
      <w:bookmarkEnd w:id="2"/>
      <w:bookmarkEnd w:id="3"/>
    </w:p>
    <w:p w14:paraId="4E14D0D2">
      <w:pPr>
        <w:pStyle w:val="64"/>
        <w:spacing w:line="360" w:lineRule="auto"/>
        <w:rPr>
          <w:sz w:val="48"/>
          <w:lang w:eastAsia="zh-CN"/>
        </w:rPr>
      </w:pPr>
      <w:r>
        <w:rPr>
          <w:sz w:val="48"/>
          <w:lang w:eastAsia="zh-CN"/>
        </w:rPr>
        <w:t xml:space="preserve"> </w:t>
      </w:r>
    </w:p>
    <w:p w14:paraId="0F9BF876">
      <w:pPr>
        <w:keepNext/>
        <w:spacing w:before="120" w:after="120" w:line="360" w:lineRule="auto"/>
        <w:ind w:left="360" w:hanging="720"/>
        <w:jc w:val="center"/>
        <w:outlineLvl w:val="1"/>
        <w:rPr>
          <w:b/>
          <w:bCs/>
          <w:szCs w:val="24"/>
        </w:rPr>
      </w:pPr>
      <w:r>
        <w:rPr>
          <w:b/>
          <w:bCs/>
          <w:szCs w:val="24"/>
        </w:rPr>
        <w:t>Table of Criteria</w:t>
      </w:r>
    </w:p>
    <w:p w14:paraId="6D97771E">
      <w:pPr>
        <w:tabs>
          <w:tab w:val="right" w:leader="dot" w:pos="9360"/>
        </w:tabs>
        <w:spacing w:line="360" w:lineRule="auto"/>
        <w:ind w:left="720" w:hanging="360"/>
        <w:outlineLvl w:val="0"/>
        <w:rPr>
          <w:sz w:val="20"/>
          <w:lang w:val="en-MY" w:eastAsia="zh-CN"/>
        </w:rPr>
      </w:pPr>
      <w:r>
        <w:rPr>
          <w:bCs/>
          <w:sz w:val="20"/>
        </w:rPr>
        <w:fldChar w:fldCharType="begin"/>
      </w:r>
      <w:r>
        <w:rPr>
          <w:bCs/>
          <w:sz w:val="20"/>
        </w:rPr>
        <w:instrText xml:space="preserve"> TOC \t "Heading 1,1" </w:instrText>
      </w:r>
      <w:r>
        <w:rPr>
          <w:bCs/>
          <w:sz w:val="20"/>
        </w:rPr>
        <w:fldChar w:fldCharType="separate"/>
      </w:r>
      <w:r>
        <w:rPr>
          <w:b/>
          <w:sz w:val="20"/>
          <w:lang w:val="en-MY" w:eastAsia="zh-CN"/>
        </w:rPr>
        <w:t>1.</w:t>
      </w:r>
      <w:r>
        <w:rPr>
          <w:b/>
          <w:sz w:val="20"/>
          <w:lang w:val="en-MY" w:eastAsia="zh-CN"/>
        </w:rPr>
        <w:tab/>
      </w:r>
      <w:r>
        <w:rPr>
          <w:b/>
          <w:sz w:val="20"/>
          <w:lang w:val="en-MY" w:eastAsia="zh-CN"/>
        </w:rPr>
        <w:t>Evaluation Criteria</w:t>
      </w:r>
      <w:r>
        <w:rPr>
          <w:b/>
          <w:sz w:val="20"/>
          <w:lang w:val="en-MY" w:eastAsia="zh-CN"/>
        </w:rPr>
        <w:tab/>
      </w:r>
      <w:r>
        <w:rPr>
          <w:b/>
          <w:sz w:val="20"/>
          <w:lang w:val="en-MY" w:eastAsia="zh-CN"/>
        </w:rPr>
        <w:fldChar w:fldCharType="begin"/>
      </w:r>
      <w:r>
        <w:rPr>
          <w:b/>
          <w:sz w:val="20"/>
          <w:lang w:val="en-MY" w:eastAsia="zh-CN"/>
        </w:rPr>
        <w:instrText xml:space="preserve"> PAGEREF _Toc105992444 \h </w:instrText>
      </w:r>
      <w:r>
        <w:rPr>
          <w:b/>
          <w:sz w:val="20"/>
          <w:lang w:val="en-MY" w:eastAsia="zh-CN"/>
        </w:rPr>
        <w:fldChar w:fldCharType="separate"/>
      </w:r>
      <w:r>
        <w:rPr>
          <w:b/>
          <w:sz w:val="20"/>
          <w:lang w:val="en-MY" w:eastAsia="zh-CN"/>
        </w:rPr>
        <w:t>3</w:t>
      </w:r>
      <w:r>
        <w:rPr>
          <w:b/>
          <w:sz w:val="20"/>
          <w:lang w:val="en-MY" w:eastAsia="zh-CN"/>
        </w:rPr>
        <w:fldChar w:fldCharType="end"/>
      </w:r>
      <w:r>
        <w:rPr>
          <w:b/>
          <w:sz w:val="20"/>
          <w:lang w:val="en-MY" w:eastAsia="zh-CN"/>
        </w:rPr>
        <w:t>-2</w:t>
      </w:r>
    </w:p>
    <w:p w14:paraId="66C1B933">
      <w:pPr>
        <w:tabs>
          <w:tab w:val="left" w:pos="720"/>
          <w:tab w:val="right" w:leader="dot" w:pos="9360"/>
        </w:tabs>
        <w:spacing w:line="360" w:lineRule="auto"/>
        <w:ind w:left="907" w:hanging="648"/>
        <w:outlineLvl w:val="0"/>
        <w:rPr>
          <w:sz w:val="20"/>
          <w:lang w:val="en-MY" w:eastAsia="zh-CN"/>
        </w:rPr>
      </w:pPr>
    </w:p>
    <w:p w14:paraId="30EACABF">
      <w:pPr>
        <w:tabs>
          <w:tab w:val="right" w:leader="dot" w:pos="9360"/>
        </w:tabs>
        <w:spacing w:after="120" w:line="360" w:lineRule="auto"/>
        <w:ind w:left="1267" w:hanging="547"/>
        <w:outlineLvl w:val="0"/>
        <w:rPr>
          <w:b/>
          <w:sz w:val="20"/>
          <w:lang w:val="en-MY" w:eastAsia="zh-CN"/>
        </w:rPr>
      </w:pPr>
      <w:r>
        <w:rPr>
          <w:b/>
          <w:sz w:val="20"/>
          <w:lang w:val="en-MY" w:eastAsia="zh-CN"/>
        </w:rPr>
        <w:t>1.1</w:t>
      </w:r>
      <w:r>
        <w:rPr>
          <w:b/>
          <w:sz w:val="20"/>
          <w:lang w:val="en-MY" w:eastAsia="zh-CN"/>
        </w:rPr>
        <w:tab/>
      </w:r>
      <w:r>
        <w:rPr>
          <w:b/>
          <w:sz w:val="20"/>
          <w:lang w:val="en-MY" w:eastAsia="zh-CN"/>
        </w:rPr>
        <w:t>Technical Criteria</w:t>
      </w:r>
      <w:r>
        <w:rPr>
          <w:b/>
          <w:sz w:val="20"/>
          <w:lang w:val="en-MY" w:eastAsia="zh-CN"/>
        </w:rPr>
        <w:tab/>
      </w:r>
      <w:r>
        <w:rPr>
          <w:b/>
          <w:sz w:val="20"/>
          <w:lang w:val="en-MY" w:eastAsia="zh-CN"/>
        </w:rPr>
        <w:t>3-2</w:t>
      </w:r>
    </w:p>
    <w:p w14:paraId="3A70C679">
      <w:pPr>
        <w:tabs>
          <w:tab w:val="left" w:pos="720"/>
          <w:tab w:val="right" w:leader="dot" w:pos="9360"/>
        </w:tabs>
        <w:spacing w:after="120" w:line="360" w:lineRule="auto"/>
        <w:ind w:left="1267" w:hanging="547"/>
        <w:outlineLvl w:val="0"/>
        <w:rPr>
          <w:b/>
          <w:sz w:val="20"/>
          <w:lang w:val="en-MY" w:eastAsia="zh-CN"/>
        </w:rPr>
      </w:pPr>
      <w:r>
        <w:rPr>
          <w:b/>
          <w:sz w:val="20"/>
          <w:lang w:val="en-MY" w:eastAsia="zh-CN"/>
        </w:rPr>
        <w:t>1.2</w:t>
      </w:r>
      <w:r>
        <w:rPr>
          <w:b/>
          <w:sz w:val="20"/>
          <w:lang w:val="en-MY" w:eastAsia="zh-CN"/>
        </w:rPr>
        <w:tab/>
      </w:r>
      <w:r>
        <w:rPr>
          <w:b/>
          <w:sz w:val="20"/>
          <w:lang w:val="en-MY" w:eastAsia="zh-CN"/>
        </w:rPr>
        <w:t>Economic Criteria</w:t>
      </w:r>
      <w:r>
        <w:rPr>
          <w:b/>
          <w:sz w:val="20"/>
          <w:lang w:val="en-MY" w:eastAsia="zh-CN"/>
        </w:rPr>
        <w:tab/>
      </w:r>
      <w:r>
        <w:rPr>
          <w:b/>
          <w:sz w:val="20"/>
          <w:lang w:val="en-MY" w:eastAsia="zh-CN"/>
        </w:rPr>
        <w:t>3-2</w:t>
      </w:r>
    </w:p>
    <w:p w14:paraId="137AD592">
      <w:pPr>
        <w:tabs>
          <w:tab w:val="right" w:leader="dot" w:pos="9360"/>
        </w:tabs>
        <w:spacing w:line="360" w:lineRule="auto"/>
        <w:ind w:left="1800" w:hanging="547"/>
        <w:outlineLvl w:val="0"/>
        <w:rPr>
          <w:sz w:val="20"/>
          <w:lang w:val="en-MY" w:eastAsia="zh-CN"/>
        </w:rPr>
      </w:pPr>
      <w:r>
        <w:rPr>
          <w:sz w:val="20"/>
          <w:lang w:val="en-MY" w:eastAsia="zh-CN"/>
        </w:rPr>
        <w:t>1.2.1</w:t>
      </w:r>
      <w:r>
        <w:rPr>
          <w:sz w:val="20"/>
          <w:lang w:val="en-MY" w:eastAsia="zh-CN"/>
        </w:rPr>
        <w:tab/>
      </w:r>
      <w:r>
        <w:rPr>
          <w:sz w:val="20"/>
          <w:lang w:val="en-MY" w:eastAsia="zh-CN"/>
        </w:rPr>
        <w:t>Adjustment for Scope</w:t>
      </w:r>
      <w:r>
        <w:rPr>
          <w:sz w:val="20"/>
          <w:lang w:val="en-MY" w:eastAsia="zh-CN"/>
        </w:rPr>
        <w:tab/>
      </w:r>
      <w:r>
        <w:rPr>
          <w:sz w:val="20"/>
          <w:lang w:val="en-MY" w:eastAsia="zh-CN"/>
        </w:rPr>
        <w:t>3-2</w:t>
      </w:r>
    </w:p>
    <w:p w14:paraId="6A5FEBB2">
      <w:pPr>
        <w:tabs>
          <w:tab w:val="right" w:leader="dot" w:pos="9360"/>
        </w:tabs>
        <w:spacing w:line="360" w:lineRule="auto"/>
        <w:ind w:left="1800" w:hanging="547"/>
        <w:outlineLvl w:val="0"/>
        <w:rPr>
          <w:sz w:val="20"/>
          <w:lang w:val="en-MY" w:eastAsia="zh-CN"/>
        </w:rPr>
      </w:pPr>
      <w:r>
        <w:rPr>
          <w:sz w:val="20"/>
          <w:lang w:val="en-MY" w:eastAsia="zh-CN"/>
        </w:rPr>
        <w:t>1.2.1.1 Local Handling and Inland Transportation</w:t>
      </w:r>
      <w:r>
        <w:rPr>
          <w:sz w:val="20"/>
          <w:lang w:val="en-MY" w:eastAsia="zh-CN"/>
        </w:rPr>
        <w:tab/>
      </w:r>
      <w:r>
        <w:rPr>
          <w:sz w:val="20"/>
          <w:lang w:val="en-MY" w:eastAsia="zh-CN"/>
        </w:rPr>
        <w:t>3-2</w:t>
      </w:r>
    </w:p>
    <w:p w14:paraId="7CE20B90">
      <w:pPr>
        <w:tabs>
          <w:tab w:val="right" w:leader="dot" w:pos="9360"/>
        </w:tabs>
        <w:spacing w:line="360" w:lineRule="auto"/>
        <w:ind w:left="1800" w:hanging="547"/>
        <w:outlineLvl w:val="0"/>
        <w:rPr>
          <w:sz w:val="20"/>
          <w:lang w:val="en-MY" w:eastAsia="zh-CN"/>
        </w:rPr>
      </w:pPr>
      <w:r>
        <w:rPr>
          <w:sz w:val="20"/>
          <w:lang w:val="en-MY" w:eastAsia="zh-CN"/>
        </w:rPr>
        <w:t>1.2.1.2 Minor Omissions or Missing Items</w:t>
      </w:r>
      <w:r>
        <w:rPr>
          <w:sz w:val="20"/>
          <w:lang w:val="en-MY" w:eastAsia="zh-CN"/>
        </w:rPr>
        <w:tab/>
      </w:r>
      <w:r>
        <w:rPr>
          <w:sz w:val="20"/>
          <w:lang w:val="en-MY" w:eastAsia="zh-CN"/>
        </w:rPr>
        <w:t>3-2</w:t>
      </w:r>
    </w:p>
    <w:p w14:paraId="06E295D7">
      <w:pPr>
        <w:tabs>
          <w:tab w:val="right" w:leader="dot" w:pos="9360"/>
        </w:tabs>
        <w:spacing w:line="360" w:lineRule="auto"/>
        <w:ind w:left="1800" w:hanging="547"/>
        <w:outlineLvl w:val="0"/>
        <w:rPr>
          <w:sz w:val="20"/>
          <w:lang w:val="en-MY" w:eastAsia="zh-CN"/>
        </w:rPr>
      </w:pPr>
      <w:r>
        <w:rPr>
          <w:sz w:val="20"/>
          <w:lang w:val="en-MY" w:eastAsia="zh-CN"/>
        </w:rPr>
        <w:t>1.2.2</w:t>
      </w:r>
      <w:r>
        <w:rPr>
          <w:sz w:val="20"/>
          <w:lang w:val="en-MY" w:eastAsia="zh-CN"/>
        </w:rPr>
        <w:tab/>
      </w:r>
      <w:r>
        <w:rPr>
          <w:sz w:val="20"/>
          <w:lang w:val="en-MY" w:eastAsia="zh-CN"/>
        </w:rPr>
        <w:t>Adjustment for Deviations from the Terms of Payment</w:t>
      </w:r>
      <w:r>
        <w:rPr>
          <w:sz w:val="20"/>
          <w:lang w:val="en-MY" w:eastAsia="zh-CN"/>
        </w:rPr>
        <w:tab/>
      </w:r>
      <w:r>
        <w:rPr>
          <w:sz w:val="20"/>
          <w:lang w:val="en-MY" w:eastAsia="zh-CN"/>
        </w:rPr>
        <w:t>3-2</w:t>
      </w:r>
    </w:p>
    <w:p w14:paraId="3D9B1CC4">
      <w:pPr>
        <w:tabs>
          <w:tab w:val="right" w:leader="dot" w:pos="9360"/>
        </w:tabs>
        <w:spacing w:line="360" w:lineRule="auto"/>
        <w:ind w:left="1800" w:hanging="547"/>
        <w:outlineLvl w:val="0"/>
        <w:rPr>
          <w:sz w:val="20"/>
          <w:lang w:val="en-MY" w:eastAsia="zh-CN"/>
        </w:rPr>
      </w:pPr>
      <w:r>
        <w:rPr>
          <w:sz w:val="20"/>
          <w:lang w:val="en-MY" w:eastAsia="zh-CN"/>
        </w:rPr>
        <w:t>1.2.3</w:t>
      </w:r>
      <w:r>
        <w:rPr>
          <w:sz w:val="20"/>
          <w:lang w:val="en-MY" w:eastAsia="zh-CN"/>
        </w:rPr>
        <w:tab/>
      </w:r>
      <w:r>
        <w:rPr>
          <w:sz w:val="20"/>
          <w:lang w:val="en-MY" w:eastAsia="zh-CN"/>
        </w:rPr>
        <w:t>Adjustment for Deviations in the Delivery and Completion Schedule</w:t>
      </w:r>
      <w:r>
        <w:rPr>
          <w:sz w:val="20"/>
          <w:lang w:val="en-MY" w:eastAsia="zh-CN"/>
        </w:rPr>
        <w:tab/>
      </w:r>
      <w:r>
        <w:rPr>
          <w:sz w:val="20"/>
          <w:lang w:val="en-MY" w:eastAsia="zh-CN"/>
        </w:rPr>
        <w:t>3-</w:t>
      </w:r>
      <w:r>
        <w:rPr>
          <w:sz w:val="20"/>
          <w:lang w:eastAsia="zh-CN"/>
        </w:rPr>
        <w:t>2</w:t>
      </w:r>
    </w:p>
    <w:p w14:paraId="02AB65DF">
      <w:pPr>
        <w:tabs>
          <w:tab w:val="right" w:leader="dot" w:pos="9360"/>
        </w:tabs>
        <w:spacing w:line="360" w:lineRule="auto"/>
        <w:ind w:left="1800" w:hanging="547"/>
        <w:outlineLvl w:val="0"/>
        <w:rPr>
          <w:sz w:val="20"/>
          <w:lang w:val="en-MY" w:eastAsia="zh-CN"/>
        </w:rPr>
      </w:pPr>
      <w:r>
        <w:rPr>
          <w:sz w:val="20"/>
          <w:lang w:val="en-MY" w:eastAsia="zh-CN"/>
        </w:rPr>
        <w:t>1.2.4</w:t>
      </w:r>
      <w:r>
        <w:rPr>
          <w:sz w:val="20"/>
          <w:lang w:val="en-MY" w:eastAsia="zh-CN"/>
        </w:rPr>
        <w:tab/>
      </w:r>
      <w:r>
        <w:rPr>
          <w:sz w:val="20"/>
          <w:lang w:val="en-MY" w:eastAsia="zh-CN"/>
        </w:rPr>
        <w:t>Spare Parts</w:t>
      </w:r>
      <w:r>
        <w:rPr>
          <w:sz w:val="20"/>
          <w:lang w:val="en-MY" w:eastAsia="zh-CN"/>
        </w:rPr>
        <w:tab/>
      </w:r>
      <w:r>
        <w:rPr>
          <w:sz w:val="20"/>
          <w:lang w:val="en-MY" w:eastAsia="zh-CN"/>
        </w:rPr>
        <w:t>3-</w:t>
      </w:r>
      <w:r>
        <w:rPr>
          <w:sz w:val="20"/>
          <w:lang w:eastAsia="zh-CN"/>
        </w:rPr>
        <w:t>2</w:t>
      </w:r>
    </w:p>
    <w:p w14:paraId="046FC740">
      <w:pPr>
        <w:spacing w:line="360" w:lineRule="auto"/>
        <w:rPr>
          <w:sz w:val="20"/>
          <w:lang w:val="en-MY" w:eastAsia="zh-CN"/>
        </w:rPr>
      </w:pPr>
    </w:p>
    <w:p w14:paraId="4F3B8E4F">
      <w:pPr>
        <w:tabs>
          <w:tab w:val="right" w:leader="dot" w:pos="9360"/>
        </w:tabs>
        <w:spacing w:line="360" w:lineRule="auto"/>
        <w:ind w:left="720" w:hanging="367"/>
        <w:outlineLvl w:val="0"/>
        <w:rPr>
          <w:b/>
          <w:sz w:val="20"/>
          <w:lang w:val="en-MY" w:eastAsia="zh-CN"/>
        </w:rPr>
      </w:pPr>
      <w:r>
        <w:rPr>
          <w:b/>
          <w:sz w:val="20"/>
          <w:lang w:val="en-MY" w:eastAsia="zh-CN"/>
        </w:rPr>
        <w:t>2.</w:t>
      </w:r>
      <w:r>
        <w:rPr>
          <w:b/>
          <w:sz w:val="20"/>
          <w:lang w:val="en-MY" w:eastAsia="zh-CN"/>
        </w:rPr>
        <w:tab/>
      </w:r>
      <w:r>
        <w:rPr>
          <w:b/>
          <w:sz w:val="20"/>
          <w:lang w:val="en-MY" w:eastAsia="zh-CN"/>
        </w:rPr>
        <w:t>Qualification Criteria</w:t>
      </w:r>
      <w:r>
        <w:rPr>
          <w:b/>
          <w:sz w:val="20"/>
          <w:lang w:val="en-MY" w:eastAsia="zh-CN"/>
        </w:rPr>
        <w:tab/>
      </w:r>
      <w:r>
        <w:rPr>
          <w:b/>
          <w:sz w:val="20"/>
          <w:lang w:val="en-MY" w:eastAsia="zh-CN"/>
        </w:rPr>
        <w:t>3-</w:t>
      </w:r>
      <w:r>
        <w:rPr>
          <w:b/>
          <w:sz w:val="20"/>
          <w:lang w:eastAsia="zh-CN"/>
        </w:rPr>
        <w:t>3</w:t>
      </w:r>
    </w:p>
    <w:p w14:paraId="3ACF560A">
      <w:pPr>
        <w:tabs>
          <w:tab w:val="right" w:leader="dot" w:pos="9360"/>
        </w:tabs>
        <w:spacing w:line="360" w:lineRule="auto"/>
        <w:ind w:left="1260" w:hanging="547"/>
        <w:outlineLvl w:val="0"/>
        <w:rPr>
          <w:sz w:val="20"/>
          <w:lang w:val="en-MY" w:eastAsia="zh-CN"/>
        </w:rPr>
      </w:pPr>
      <w:r>
        <w:rPr>
          <w:b/>
          <w:sz w:val="20"/>
          <w:lang w:val="en-MY" w:eastAsia="zh-CN"/>
        </w:rPr>
        <w:tab/>
      </w:r>
    </w:p>
    <w:p w14:paraId="3F249706">
      <w:pPr>
        <w:tabs>
          <w:tab w:val="right" w:leader="dot" w:pos="9360"/>
        </w:tabs>
        <w:spacing w:line="360" w:lineRule="auto"/>
        <w:ind w:left="1260" w:hanging="547"/>
        <w:outlineLvl w:val="0"/>
        <w:rPr>
          <w:sz w:val="20"/>
          <w:lang w:val="en-MY" w:eastAsia="zh-CN"/>
        </w:rPr>
      </w:pPr>
      <w:r>
        <w:rPr>
          <w:b/>
          <w:sz w:val="20"/>
          <w:lang w:val="en-MY" w:eastAsia="zh-CN"/>
        </w:rPr>
        <w:t xml:space="preserve"> </w:t>
      </w:r>
      <w:r>
        <w:rPr>
          <w:b/>
          <w:bCs/>
          <w:kern w:val="32"/>
          <w:sz w:val="20"/>
        </w:rPr>
        <w:fldChar w:fldCharType="end"/>
      </w:r>
    </w:p>
    <w:p w14:paraId="79C28F67">
      <w:pPr>
        <w:tabs>
          <w:tab w:val="right" w:leader="dot" w:pos="9360"/>
        </w:tabs>
        <w:spacing w:line="360" w:lineRule="auto"/>
        <w:ind w:left="1260" w:hanging="547"/>
        <w:outlineLvl w:val="0"/>
        <w:rPr>
          <w:b/>
          <w:sz w:val="20"/>
          <w:lang w:val="en-MY" w:eastAsia="zh-CN"/>
        </w:rPr>
      </w:pPr>
      <w:r>
        <w:rPr>
          <w:b/>
          <w:sz w:val="20"/>
          <w:lang w:val="en-MY" w:eastAsia="zh-CN"/>
        </w:rPr>
        <w:t>2.1</w:t>
      </w:r>
      <w:r>
        <w:rPr>
          <w:b/>
          <w:sz w:val="20"/>
          <w:lang w:val="en-MY" w:eastAsia="zh-CN"/>
        </w:rPr>
        <w:tab/>
      </w:r>
      <w:r>
        <w:rPr>
          <w:b/>
          <w:sz w:val="20"/>
          <w:lang w:val="en-MY" w:eastAsia="zh-CN"/>
        </w:rPr>
        <w:t>Eligibility and Pending Litigation</w:t>
      </w:r>
      <w:r>
        <w:rPr>
          <w:b/>
          <w:sz w:val="20"/>
          <w:lang w:val="en-MY" w:eastAsia="zh-CN"/>
        </w:rPr>
        <w:tab/>
      </w:r>
      <w:r>
        <w:rPr>
          <w:b/>
          <w:sz w:val="20"/>
          <w:lang w:val="en-MY" w:eastAsia="zh-CN"/>
        </w:rPr>
        <w:t>3-</w:t>
      </w:r>
      <w:r>
        <w:rPr>
          <w:b/>
          <w:sz w:val="20"/>
          <w:lang w:eastAsia="zh-CN"/>
        </w:rPr>
        <w:t>3</w:t>
      </w:r>
    </w:p>
    <w:p w14:paraId="38045489">
      <w:pPr>
        <w:tabs>
          <w:tab w:val="right" w:leader="dot" w:pos="9360"/>
        </w:tabs>
        <w:spacing w:line="360" w:lineRule="auto"/>
        <w:ind w:left="1800" w:hanging="547"/>
        <w:outlineLvl w:val="0"/>
        <w:rPr>
          <w:sz w:val="20"/>
          <w:lang w:val="en-MY" w:eastAsia="zh-CN"/>
        </w:rPr>
      </w:pPr>
      <w:r>
        <w:rPr>
          <w:sz w:val="20"/>
          <w:lang w:val="en-MY" w:eastAsia="zh-CN"/>
        </w:rPr>
        <w:t>2.1.1</w:t>
      </w:r>
      <w:r>
        <w:rPr>
          <w:sz w:val="20"/>
          <w:lang w:val="en-MY" w:eastAsia="zh-CN"/>
        </w:rPr>
        <w:tab/>
      </w:r>
      <w:r>
        <w:rPr>
          <w:sz w:val="20"/>
          <w:lang w:val="en-MY" w:eastAsia="zh-CN"/>
        </w:rPr>
        <w:t>Eligibility</w:t>
      </w:r>
      <w:r>
        <w:rPr>
          <w:sz w:val="20"/>
          <w:lang w:val="en-MY" w:eastAsia="zh-CN"/>
        </w:rPr>
        <w:tab/>
      </w:r>
      <w:r>
        <w:rPr>
          <w:sz w:val="20"/>
          <w:lang w:val="en-MY" w:eastAsia="zh-CN"/>
        </w:rPr>
        <w:t>3-</w:t>
      </w:r>
      <w:r>
        <w:rPr>
          <w:sz w:val="20"/>
          <w:lang w:eastAsia="zh-CN"/>
        </w:rPr>
        <w:t>3</w:t>
      </w:r>
    </w:p>
    <w:p w14:paraId="192BD7D3">
      <w:pPr>
        <w:tabs>
          <w:tab w:val="right" w:leader="dot" w:pos="9360"/>
        </w:tabs>
        <w:spacing w:line="360" w:lineRule="auto"/>
        <w:ind w:left="1800" w:hanging="547"/>
        <w:outlineLvl w:val="0"/>
        <w:rPr>
          <w:sz w:val="20"/>
          <w:lang w:val="en-MY" w:eastAsia="zh-CN"/>
        </w:rPr>
      </w:pPr>
      <w:r>
        <w:rPr>
          <w:sz w:val="20"/>
          <w:lang w:val="en-MY" w:eastAsia="zh-CN"/>
        </w:rPr>
        <w:t>2.1.1.2 Conflict of Interest</w:t>
      </w:r>
      <w:r>
        <w:rPr>
          <w:sz w:val="20"/>
          <w:lang w:val="en-MY" w:eastAsia="zh-CN"/>
        </w:rPr>
        <w:tab/>
      </w:r>
      <w:r>
        <w:rPr>
          <w:sz w:val="20"/>
          <w:lang w:val="en-MY" w:eastAsia="zh-CN"/>
        </w:rPr>
        <w:t>3-</w:t>
      </w:r>
      <w:r>
        <w:rPr>
          <w:sz w:val="20"/>
          <w:lang w:eastAsia="zh-CN"/>
        </w:rPr>
        <w:t>3</w:t>
      </w:r>
    </w:p>
    <w:p w14:paraId="42037B24">
      <w:pPr>
        <w:tabs>
          <w:tab w:val="right" w:leader="dot" w:pos="9360"/>
        </w:tabs>
        <w:spacing w:line="360" w:lineRule="auto"/>
        <w:ind w:left="1800" w:hanging="547"/>
        <w:outlineLvl w:val="0"/>
        <w:rPr>
          <w:sz w:val="20"/>
          <w:lang w:val="en-MY" w:eastAsia="zh-CN"/>
        </w:rPr>
      </w:pPr>
      <w:r>
        <w:rPr>
          <w:sz w:val="20"/>
          <w:lang w:val="en-MY" w:eastAsia="zh-CN"/>
        </w:rPr>
        <w:t>2.1.1.3 Government-Owned Enterprise</w:t>
      </w:r>
      <w:r>
        <w:rPr>
          <w:sz w:val="20"/>
          <w:lang w:val="en-MY" w:eastAsia="zh-CN"/>
        </w:rPr>
        <w:tab/>
      </w:r>
      <w:r>
        <w:rPr>
          <w:sz w:val="20"/>
          <w:lang w:val="en-MY" w:eastAsia="zh-CN"/>
        </w:rPr>
        <w:t>3-</w:t>
      </w:r>
      <w:r>
        <w:rPr>
          <w:sz w:val="20"/>
          <w:lang w:eastAsia="zh-CN"/>
        </w:rPr>
        <w:t>3</w:t>
      </w:r>
    </w:p>
    <w:p w14:paraId="1A97E47B">
      <w:pPr>
        <w:tabs>
          <w:tab w:val="right" w:leader="dot" w:pos="9360"/>
        </w:tabs>
        <w:spacing w:line="360" w:lineRule="auto"/>
        <w:ind w:left="1800" w:hanging="547"/>
        <w:outlineLvl w:val="0"/>
        <w:rPr>
          <w:sz w:val="20"/>
          <w:lang w:val="en-MY" w:eastAsia="zh-CN"/>
        </w:rPr>
      </w:pPr>
      <w:r>
        <w:rPr>
          <w:sz w:val="20"/>
          <w:lang w:val="en-MY" w:eastAsia="zh-CN"/>
        </w:rPr>
        <w:t>2.1.1.4 United Nations Eligibility</w:t>
      </w:r>
      <w:r>
        <w:rPr>
          <w:sz w:val="20"/>
          <w:lang w:val="en-MY" w:eastAsia="zh-CN"/>
        </w:rPr>
        <w:tab/>
      </w:r>
      <w:r>
        <w:rPr>
          <w:sz w:val="20"/>
          <w:lang w:val="en-MY" w:eastAsia="zh-CN"/>
        </w:rPr>
        <w:t>3-</w:t>
      </w:r>
      <w:r>
        <w:rPr>
          <w:sz w:val="20"/>
          <w:lang w:eastAsia="zh-CN"/>
        </w:rPr>
        <w:t>3</w:t>
      </w:r>
    </w:p>
    <w:p w14:paraId="5024F256">
      <w:pPr>
        <w:tabs>
          <w:tab w:val="right" w:leader="dot" w:pos="9360"/>
        </w:tabs>
        <w:spacing w:line="360" w:lineRule="auto"/>
        <w:ind w:left="1800" w:hanging="547"/>
        <w:outlineLvl w:val="0"/>
        <w:rPr>
          <w:sz w:val="20"/>
          <w:lang w:val="en-MY" w:eastAsia="zh-CN"/>
        </w:rPr>
      </w:pPr>
      <w:r>
        <w:rPr>
          <w:sz w:val="20"/>
          <w:lang w:val="en-MY" w:eastAsia="zh-CN"/>
        </w:rPr>
        <w:t>2.1.2</w:t>
      </w:r>
      <w:r>
        <w:rPr>
          <w:sz w:val="20"/>
          <w:lang w:val="en-MY" w:eastAsia="zh-CN"/>
        </w:rPr>
        <w:tab/>
      </w:r>
      <w:r>
        <w:rPr>
          <w:sz w:val="20"/>
          <w:lang w:val="en-MY" w:eastAsia="zh-CN"/>
        </w:rPr>
        <w:t>Pending Litigation</w:t>
      </w:r>
      <w:r>
        <w:rPr>
          <w:sz w:val="20"/>
          <w:lang w:val="en-MY" w:eastAsia="zh-CN"/>
        </w:rPr>
        <w:tab/>
      </w:r>
      <w:r>
        <w:rPr>
          <w:sz w:val="20"/>
          <w:lang w:val="en-MY" w:eastAsia="zh-CN"/>
        </w:rPr>
        <w:t>3-</w:t>
      </w:r>
      <w:r>
        <w:rPr>
          <w:sz w:val="20"/>
          <w:lang w:eastAsia="zh-CN"/>
        </w:rPr>
        <w:t>3</w:t>
      </w:r>
    </w:p>
    <w:p w14:paraId="3471BB2A">
      <w:pPr>
        <w:tabs>
          <w:tab w:val="right" w:leader="dot" w:pos="9360"/>
        </w:tabs>
        <w:spacing w:line="360" w:lineRule="auto"/>
        <w:ind w:left="240" w:leftChars="100" w:firstLine="1000" w:firstLineChars="500"/>
        <w:outlineLvl w:val="0"/>
        <w:rPr>
          <w:sz w:val="20"/>
          <w:lang w:val="en-MY" w:eastAsia="zh-CN"/>
        </w:rPr>
      </w:pPr>
      <w:r>
        <w:rPr>
          <w:sz w:val="20"/>
          <w:lang w:val="en-MY" w:eastAsia="zh-CN"/>
        </w:rPr>
        <w:t>2.1.2.1   Pending Litigation and Arbitration</w:t>
      </w:r>
      <w:r>
        <w:rPr>
          <w:sz w:val="20"/>
          <w:lang w:val="en-MY" w:eastAsia="zh-CN"/>
        </w:rPr>
        <w:tab/>
      </w:r>
      <w:r>
        <w:rPr>
          <w:sz w:val="20"/>
          <w:lang w:val="en-MY" w:eastAsia="zh-CN"/>
        </w:rPr>
        <w:t>3-</w:t>
      </w:r>
      <w:r>
        <w:rPr>
          <w:sz w:val="20"/>
          <w:lang w:eastAsia="zh-CN"/>
        </w:rPr>
        <w:t>3</w:t>
      </w:r>
    </w:p>
    <w:p w14:paraId="0A25FFA5">
      <w:pPr>
        <w:tabs>
          <w:tab w:val="right" w:leader="dot" w:pos="9360"/>
        </w:tabs>
        <w:spacing w:line="360" w:lineRule="auto"/>
        <w:ind w:left="240" w:leftChars="100" w:firstLine="1004" w:firstLineChars="500"/>
        <w:outlineLvl w:val="0"/>
        <w:rPr>
          <w:b/>
          <w:sz w:val="20"/>
          <w:lang w:val="en-MY" w:eastAsia="zh-CN"/>
        </w:rPr>
      </w:pPr>
    </w:p>
    <w:p w14:paraId="6ECD180F">
      <w:pPr>
        <w:tabs>
          <w:tab w:val="right" w:leader="dot" w:pos="9360"/>
        </w:tabs>
        <w:spacing w:line="360" w:lineRule="auto"/>
        <w:ind w:left="1260" w:hanging="547"/>
        <w:outlineLvl w:val="0"/>
        <w:rPr>
          <w:b/>
          <w:sz w:val="20"/>
          <w:lang w:val="en-MY" w:eastAsia="zh-CN"/>
        </w:rPr>
      </w:pPr>
      <w:r>
        <w:rPr>
          <w:b/>
          <w:sz w:val="20"/>
          <w:lang w:val="en-MY" w:eastAsia="zh-CN"/>
        </w:rPr>
        <w:t>2.2</w:t>
      </w:r>
      <w:r>
        <w:rPr>
          <w:b/>
          <w:sz w:val="20"/>
          <w:lang w:val="en-MY" w:eastAsia="zh-CN"/>
        </w:rPr>
        <w:tab/>
      </w:r>
      <w:r>
        <w:rPr>
          <w:b/>
          <w:sz w:val="20"/>
          <w:lang w:val="en-MY" w:eastAsia="zh-CN"/>
        </w:rPr>
        <w:t>Contractual Experience</w:t>
      </w:r>
      <w:r>
        <w:rPr>
          <w:b/>
          <w:sz w:val="20"/>
          <w:lang w:val="en-MY" w:eastAsia="zh-CN"/>
        </w:rPr>
        <w:tab/>
      </w:r>
      <w:r>
        <w:rPr>
          <w:b/>
          <w:sz w:val="20"/>
          <w:lang w:val="en-MY" w:eastAsia="zh-CN"/>
        </w:rPr>
        <w:t>3-</w:t>
      </w:r>
      <w:r>
        <w:rPr>
          <w:b/>
          <w:sz w:val="20"/>
          <w:lang w:eastAsia="zh-CN"/>
        </w:rPr>
        <w:t>3</w:t>
      </w:r>
    </w:p>
    <w:p w14:paraId="4D20DD5A">
      <w:pPr>
        <w:tabs>
          <w:tab w:val="right" w:leader="dot" w:pos="9360"/>
        </w:tabs>
        <w:spacing w:line="360" w:lineRule="auto"/>
        <w:ind w:left="1800" w:hanging="547"/>
        <w:outlineLvl w:val="0"/>
        <w:rPr>
          <w:sz w:val="20"/>
          <w:lang w:val="en-MY" w:eastAsia="zh-CN"/>
        </w:rPr>
      </w:pPr>
      <w:r>
        <w:rPr>
          <w:sz w:val="20"/>
          <w:lang w:val="en-MY" w:eastAsia="zh-CN"/>
        </w:rPr>
        <w:t>2.2.1</w:t>
      </w:r>
      <w:r>
        <w:rPr>
          <w:sz w:val="20"/>
          <w:lang w:val="en-MY" w:eastAsia="zh-CN"/>
        </w:rPr>
        <w:tab/>
      </w:r>
      <w:r>
        <w:rPr>
          <w:sz w:val="20"/>
          <w:lang w:val="en-MY" w:eastAsia="zh-CN"/>
        </w:rPr>
        <w:t>Contractual Experience</w:t>
      </w:r>
      <w:r>
        <w:rPr>
          <w:sz w:val="20"/>
          <w:lang w:val="en-MY" w:eastAsia="zh-CN"/>
        </w:rPr>
        <w:tab/>
      </w:r>
      <w:r>
        <w:rPr>
          <w:sz w:val="20"/>
          <w:lang w:val="en-MY" w:eastAsia="zh-CN"/>
        </w:rPr>
        <w:t>3-</w:t>
      </w:r>
      <w:r>
        <w:rPr>
          <w:sz w:val="20"/>
          <w:lang w:eastAsia="zh-CN"/>
        </w:rPr>
        <w:t>3</w:t>
      </w:r>
    </w:p>
    <w:p w14:paraId="00D8A0BD">
      <w:pPr>
        <w:tabs>
          <w:tab w:val="right" w:leader="dot" w:pos="9360"/>
        </w:tabs>
        <w:spacing w:line="360" w:lineRule="auto"/>
        <w:ind w:left="1800" w:hanging="547"/>
        <w:outlineLvl w:val="0"/>
        <w:rPr>
          <w:b/>
          <w:sz w:val="20"/>
          <w:lang w:val="en-MY" w:eastAsia="zh-CN"/>
        </w:rPr>
      </w:pPr>
    </w:p>
    <w:p w14:paraId="119B1A60">
      <w:pPr>
        <w:tabs>
          <w:tab w:val="right" w:leader="dot" w:pos="9360"/>
        </w:tabs>
        <w:spacing w:line="360" w:lineRule="auto"/>
        <w:ind w:left="1260" w:hanging="547"/>
        <w:outlineLvl w:val="0"/>
        <w:rPr>
          <w:b/>
          <w:sz w:val="20"/>
          <w:lang w:val="en-MY" w:eastAsia="zh-CN"/>
        </w:rPr>
      </w:pPr>
      <w:r>
        <w:rPr>
          <w:b/>
          <w:sz w:val="20"/>
          <w:lang w:val="en-MY" w:eastAsia="zh-CN"/>
        </w:rPr>
        <w:t xml:space="preserve">2.3 </w:t>
      </w:r>
      <w:r>
        <w:rPr>
          <w:b/>
          <w:sz w:val="20"/>
          <w:lang w:val="en-MY" w:eastAsia="zh-CN"/>
        </w:rPr>
        <w:tab/>
      </w:r>
      <w:r>
        <w:rPr>
          <w:b/>
          <w:sz w:val="20"/>
          <w:lang w:val="en-MY" w:eastAsia="zh-CN"/>
        </w:rPr>
        <w:t>Financial Situation</w:t>
      </w:r>
      <w:r>
        <w:rPr>
          <w:b/>
          <w:sz w:val="20"/>
          <w:lang w:val="en-MY" w:eastAsia="zh-CN"/>
        </w:rPr>
        <w:tab/>
      </w:r>
      <w:r>
        <w:rPr>
          <w:b/>
          <w:sz w:val="20"/>
          <w:lang w:val="en-MY" w:eastAsia="zh-CN"/>
        </w:rPr>
        <w:t>3-</w:t>
      </w:r>
      <w:r>
        <w:rPr>
          <w:b/>
          <w:sz w:val="20"/>
          <w:lang w:eastAsia="zh-CN"/>
        </w:rPr>
        <w:t>4</w:t>
      </w:r>
    </w:p>
    <w:p w14:paraId="064F92B2">
      <w:pPr>
        <w:tabs>
          <w:tab w:val="right" w:leader="dot" w:pos="9360"/>
        </w:tabs>
        <w:spacing w:line="360" w:lineRule="auto"/>
        <w:ind w:left="1800" w:hanging="547"/>
        <w:outlineLvl w:val="0"/>
        <w:rPr>
          <w:sz w:val="20"/>
          <w:lang w:val="en-MY" w:eastAsia="zh-CN"/>
        </w:rPr>
      </w:pPr>
      <w:r>
        <w:rPr>
          <w:sz w:val="20"/>
          <w:lang w:val="en-MY" w:eastAsia="zh-CN"/>
        </w:rPr>
        <w:t>2.3.1</w:t>
      </w:r>
      <w:r>
        <w:rPr>
          <w:sz w:val="20"/>
          <w:lang w:val="en-MY" w:eastAsia="zh-CN"/>
        </w:rPr>
        <w:tab/>
      </w:r>
      <w:r>
        <w:rPr>
          <w:sz w:val="20"/>
          <w:lang w:val="en-MY" w:eastAsia="zh-CN"/>
        </w:rPr>
        <w:t>Historical Financial Performance</w:t>
      </w:r>
      <w:r>
        <w:rPr>
          <w:sz w:val="20"/>
          <w:lang w:val="en-MY" w:eastAsia="zh-CN"/>
        </w:rPr>
        <w:tab/>
      </w:r>
      <w:r>
        <w:rPr>
          <w:sz w:val="20"/>
          <w:lang w:val="en-MY" w:eastAsia="zh-CN"/>
        </w:rPr>
        <w:t>3-</w:t>
      </w:r>
      <w:r>
        <w:rPr>
          <w:sz w:val="20"/>
          <w:lang w:eastAsia="zh-CN"/>
        </w:rPr>
        <w:t>4</w:t>
      </w:r>
    </w:p>
    <w:p w14:paraId="35BB7006">
      <w:pPr>
        <w:tabs>
          <w:tab w:val="right" w:leader="dot" w:pos="9360"/>
        </w:tabs>
        <w:spacing w:line="360" w:lineRule="auto"/>
        <w:ind w:left="1800" w:hanging="547"/>
        <w:outlineLvl w:val="0"/>
        <w:rPr>
          <w:sz w:val="20"/>
          <w:lang w:val="en-MY" w:eastAsia="zh-CN"/>
        </w:rPr>
      </w:pPr>
      <w:r>
        <w:rPr>
          <w:sz w:val="20"/>
          <w:lang w:val="en-MY" w:eastAsia="zh-CN"/>
        </w:rPr>
        <w:t>2.3.2</w:t>
      </w:r>
      <w:r>
        <w:rPr>
          <w:sz w:val="20"/>
          <w:lang w:val="en-MY" w:eastAsia="zh-CN"/>
        </w:rPr>
        <w:tab/>
      </w:r>
      <w:r>
        <w:rPr>
          <w:sz w:val="20"/>
          <w:lang w:val="en-MY" w:eastAsia="zh-CN"/>
        </w:rPr>
        <w:t>Size of Operation (Average Annual Turnover)</w:t>
      </w:r>
      <w:r>
        <w:rPr>
          <w:sz w:val="20"/>
          <w:lang w:val="en-MY" w:eastAsia="zh-CN"/>
        </w:rPr>
        <w:tab/>
      </w:r>
      <w:r>
        <w:rPr>
          <w:sz w:val="20"/>
          <w:lang w:val="en-MY" w:eastAsia="zh-CN"/>
        </w:rPr>
        <w:t>3-</w:t>
      </w:r>
      <w:r>
        <w:rPr>
          <w:sz w:val="20"/>
          <w:lang w:eastAsia="zh-CN"/>
        </w:rPr>
        <w:t>4</w:t>
      </w:r>
    </w:p>
    <w:p w14:paraId="72C55E98">
      <w:pPr>
        <w:tabs>
          <w:tab w:val="right" w:leader="dot" w:pos="9360"/>
        </w:tabs>
        <w:spacing w:line="360" w:lineRule="auto"/>
        <w:ind w:left="1800" w:hanging="547"/>
        <w:outlineLvl w:val="0"/>
        <w:rPr>
          <w:sz w:val="20"/>
          <w:lang w:val="en-MY" w:eastAsia="zh-CN"/>
        </w:rPr>
      </w:pPr>
      <w:r>
        <w:rPr>
          <w:sz w:val="20"/>
          <w:lang w:val="en-MY" w:eastAsia="zh-CN"/>
        </w:rPr>
        <w:t>2.3.3</w:t>
      </w:r>
      <w:r>
        <w:rPr>
          <w:sz w:val="20"/>
          <w:lang w:val="en-MY" w:eastAsia="zh-CN"/>
        </w:rPr>
        <w:tab/>
      </w:r>
      <w:r>
        <w:rPr>
          <w:sz w:val="20"/>
          <w:lang w:val="en-MY" w:eastAsia="zh-CN"/>
        </w:rPr>
        <w:t>Cash Flow Capacity</w:t>
      </w:r>
      <w:r>
        <w:rPr>
          <w:sz w:val="20"/>
          <w:lang w:val="en-MY" w:eastAsia="zh-CN"/>
        </w:rPr>
        <w:tab/>
      </w:r>
      <w:r>
        <w:rPr>
          <w:sz w:val="20"/>
          <w:lang w:val="en-MY" w:eastAsia="zh-CN"/>
        </w:rPr>
        <w:t>3-</w:t>
      </w:r>
      <w:r>
        <w:rPr>
          <w:sz w:val="20"/>
          <w:lang w:eastAsia="zh-CN"/>
        </w:rPr>
        <w:t>5</w:t>
      </w:r>
    </w:p>
    <w:p w14:paraId="18CAEF99">
      <w:pPr>
        <w:spacing w:line="360" w:lineRule="auto"/>
        <w:rPr>
          <w:sz w:val="20"/>
          <w:lang w:val="en-GB"/>
        </w:rPr>
      </w:pPr>
    </w:p>
    <w:p w14:paraId="3C567628">
      <w:pPr>
        <w:tabs>
          <w:tab w:val="right" w:leader="dot" w:pos="9360"/>
        </w:tabs>
        <w:spacing w:line="360" w:lineRule="auto"/>
        <w:ind w:left="1260" w:hanging="547"/>
        <w:outlineLvl w:val="0"/>
        <w:rPr>
          <w:b/>
          <w:sz w:val="20"/>
          <w:lang w:val="en-MY" w:eastAsia="zh-CN"/>
        </w:rPr>
      </w:pPr>
      <w:r>
        <w:rPr>
          <w:b/>
          <w:sz w:val="20"/>
          <w:lang w:val="en-MY" w:eastAsia="zh-CN"/>
        </w:rPr>
        <w:t>2.4</w:t>
      </w:r>
      <w:r>
        <w:rPr>
          <w:b/>
          <w:sz w:val="20"/>
          <w:lang w:val="en-MY" w:eastAsia="zh-CN"/>
        </w:rPr>
        <w:tab/>
      </w:r>
      <w:r>
        <w:rPr>
          <w:b/>
          <w:sz w:val="20"/>
          <w:lang w:val="en-MY" w:eastAsia="zh-CN"/>
        </w:rPr>
        <w:t>Others</w:t>
      </w:r>
      <w:r>
        <w:rPr>
          <w:b/>
          <w:sz w:val="20"/>
          <w:lang w:val="en-MY" w:eastAsia="zh-CN"/>
        </w:rPr>
        <w:tab/>
      </w:r>
      <w:r>
        <w:rPr>
          <w:b/>
          <w:sz w:val="20"/>
          <w:lang w:val="en-MY" w:eastAsia="zh-CN"/>
        </w:rPr>
        <w:t>3-</w:t>
      </w:r>
      <w:r>
        <w:rPr>
          <w:b/>
          <w:sz w:val="20"/>
          <w:lang w:eastAsia="zh-CN"/>
        </w:rPr>
        <w:t>5</w:t>
      </w:r>
    </w:p>
    <w:p w14:paraId="5BFFB180">
      <w:pPr>
        <w:tabs>
          <w:tab w:val="right" w:leader="dot" w:pos="9360"/>
        </w:tabs>
        <w:spacing w:line="360" w:lineRule="auto"/>
        <w:ind w:left="720" w:hanging="367"/>
        <w:outlineLvl w:val="0"/>
        <w:rPr>
          <w:b/>
          <w:sz w:val="20"/>
        </w:rPr>
      </w:pPr>
    </w:p>
    <w:p w14:paraId="7B495496">
      <w:pPr>
        <w:tabs>
          <w:tab w:val="right" w:leader="dot" w:pos="9360"/>
        </w:tabs>
        <w:spacing w:line="360" w:lineRule="auto"/>
        <w:ind w:left="720" w:hanging="367"/>
        <w:outlineLvl w:val="0"/>
        <w:rPr>
          <w:b/>
          <w:sz w:val="20"/>
        </w:rPr>
      </w:pPr>
      <w:r>
        <w:rPr>
          <w:b/>
          <w:sz w:val="20"/>
          <w:lang w:eastAsia="zh-CN"/>
        </w:rPr>
        <w:t>3</w:t>
      </w:r>
      <w:r>
        <w:rPr>
          <w:b/>
          <w:sz w:val="20"/>
        </w:rPr>
        <w:t>.</w:t>
      </w:r>
      <w:r>
        <w:rPr>
          <w:b/>
          <w:sz w:val="20"/>
        </w:rPr>
        <w:tab/>
      </w:r>
      <w:r>
        <w:rPr>
          <w:b/>
          <w:sz w:val="20"/>
          <w:lang w:eastAsia="zh-CN"/>
        </w:rPr>
        <w:t>Bid Evaluation Method</w:t>
      </w:r>
      <w:r>
        <w:rPr>
          <w:b/>
          <w:sz w:val="20"/>
        </w:rPr>
        <w:tab/>
      </w:r>
      <w:r>
        <w:rPr>
          <w:b/>
          <w:sz w:val="20"/>
        </w:rPr>
        <w:t>3-</w:t>
      </w:r>
      <w:r>
        <w:rPr>
          <w:b/>
          <w:sz w:val="20"/>
          <w:lang w:eastAsia="zh-CN"/>
        </w:rPr>
        <w:t>8</w:t>
      </w:r>
    </w:p>
    <w:p w14:paraId="473EFD92">
      <w:pPr>
        <w:tabs>
          <w:tab w:val="right" w:leader="dot" w:pos="9360"/>
        </w:tabs>
        <w:spacing w:line="360" w:lineRule="auto"/>
        <w:ind w:left="1260" w:hanging="547"/>
        <w:outlineLvl w:val="0"/>
        <w:rPr>
          <w:b/>
          <w:sz w:val="20"/>
          <w:lang w:val="en-MY" w:eastAsia="zh-CN"/>
        </w:rPr>
      </w:pPr>
    </w:p>
    <w:p w14:paraId="5692A646">
      <w:pPr>
        <w:pStyle w:val="7"/>
        <w:numPr>
          <w:ilvl w:val="4"/>
          <w:numId w:val="19"/>
        </w:numPr>
        <w:spacing w:before="80" w:after="120" w:line="360" w:lineRule="auto"/>
        <w:jc w:val="left"/>
        <w:rPr>
          <w:sz w:val="40"/>
          <w:szCs w:val="40"/>
        </w:rPr>
      </w:pPr>
      <w:r>
        <w:rPr>
          <w:sz w:val="40"/>
          <w:szCs w:val="40"/>
        </w:rPr>
        <w:br w:type="page"/>
      </w:r>
      <w:r>
        <w:rPr>
          <w:sz w:val="40"/>
          <w:szCs w:val="40"/>
        </w:rPr>
        <w:t>1. Evaluation Criteria</w:t>
      </w:r>
    </w:p>
    <w:p w14:paraId="5301BC45">
      <w:pPr>
        <w:spacing w:line="360" w:lineRule="auto"/>
        <w:rPr>
          <w:lang w:val="en-GB"/>
        </w:rPr>
      </w:pPr>
    </w:p>
    <w:p w14:paraId="04A0920A">
      <w:pPr>
        <w:pStyle w:val="150"/>
        <w:spacing w:line="360" w:lineRule="auto"/>
        <w:rPr>
          <w:sz w:val="24"/>
          <w:szCs w:val="24"/>
        </w:rPr>
      </w:pPr>
      <w:r>
        <w:rPr>
          <w:sz w:val="24"/>
          <w:szCs w:val="24"/>
        </w:rPr>
        <w:t>1.1</w:t>
      </w:r>
      <w:r>
        <w:rPr>
          <w:sz w:val="24"/>
          <w:szCs w:val="24"/>
        </w:rPr>
        <w:tab/>
      </w:r>
      <w:r>
        <w:rPr>
          <w:sz w:val="24"/>
          <w:szCs w:val="24"/>
        </w:rPr>
        <w:t>Technical Criteria</w:t>
      </w:r>
    </w:p>
    <w:p w14:paraId="1F0F3D7C">
      <w:pPr>
        <w:pStyle w:val="151"/>
        <w:spacing w:after="180" w:line="360" w:lineRule="auto"/>
        <w:jc w:val="both"/>
        <w:rPr>
          <w:sz w:val="20"/>
        </w:rPr>
      </w:pPr>
      <w:r>
        <w:rPr>
          <w:sz w:val="20"/>
        </w:rPr>
        <w:t xml:space="preserve">Goods and related services provided by the bidder shall have to comply with technical level of Section 6 (Schedule of Supply). Whenever possible, these criteria should be evaluated on the comprehensive scoring system which is stipulated in the bidding document. </w:t>
      </w:r>
    </w:p>
    <w:p w14:paraId="26B68C33">
      <w:pPr>
        <w:pStyle w:val="150"/>
        <w:spacing w:after="240" w:line="360" w:lineRule="auto"/>
        <w:rPr>
          <w:sz w:val="20"/>
          <w:lang w:val="en-US" w:eastAsia="zh-CN"/>
        </w:rPr>
      </w:pPr>
      <w:r>
        <w:rPr>
          <w:sz w:val="20"/>
          <w:lang w:val="en-US" w:eastAsia="zh-CN"/>
        </w:rPr>
        <w:t>The project shall adopt the evaluation method of comprehensive evaluation method. For details, please refer to 3. Bid Evaluation Method at the end of this section.</w:t>
      </w:r>
    </w:p>
    <w:p w14:paraId="442D4550">
      <w:pPr>
        <w:pStyle w:val="151"/>
        <w:spacing w:after="180" w:line="360" w:lineRule="auto"/>
        <w:jc w:val="both"/>
        <w:rPr>
          <w:sz w:val="20"/>
        </w:rPr>
      </w:pPr>
    </w:p>
    <w:p w14:paraId="17C8DE2A">
      <w:pPr>
        <w:pStyle w:val="150"/>
        <w:spacing w:line="360" w:lineRule="auto"/>
        <w:rPr>
          <w:sz w:val="24"/>
          <w:szCs w:val="24"/>
        </w:rPr>
      </w:pPr>
      <w:r>
        <w:rPr>
          <w:sz w:val="24"/>
          <w:szCs w:val="24"/>
        </w:rPr>
        <w:t>1.</w:t>
      </w:r>
      <w:r>
        <w:rPr>
          <w:sz w:val="24"/>
          <w:szCs w:val="24"/>
          <w:lang w:eastAsia="zh-CN"/>
        </w:rPr>
        <w:t>2</w:t>
      </w:r>
      <w:r>
        <w:rPr>
          <w:sz w:val="24"/>
          <w:szCs w:val="24"/>
        </w:rPr>
        <w:tab/>
      </w:r>
      <w:r>
        <w:rPr>
          <w:sz w:val="24"/>
          <w:szCs w:val="24"/>
        </w:rPr>
        <w:t>Economic Criteria</w:t>
      </w:r>
    </w:p>
    <w:p w14:paraId="0FFFAB68">
      <w:pPr>
        <w:pStyle w:val="151"/>
        <w:spacing w:before="240" w:after="160" w:line="360" w:lineRule="auto"/>
        <w:jc w:val="both"/>
        <w:rPr>
          <w:b/>
          <w:sz w:val="20"/>
        </w:rPr>
      </w:pPr>
      <w:r>
        <w:rPr>
          <w:b/>
          <w:sz w:val="20"/>
        </w:rPr>
        <w:t>1.</w:t>
      </w:r>
      <w:r>
        <w:rPr>
          <w:b/>
          <w:sz w:val="20"/>
          <w:lang w:eastAsia="zh-CN"/>
        </w:rPr>
        <w:t>2</w:t>
      </w:r>
      <w:r>
        <w:rPr>
          <w:b/>
          <w:sz w:val="20"/>
        </w:rPr>
        <w:t>.1</w:t>
      </w:r>
      <w:r>
        <w:rPr>
          <w:b/>
          <w:sz w:val="20"/>
        </w:rPr>
        <w:tab/>
      </w:r>
      <w:r>
        <w:rPr>
          <w:b/>
          <w:sz w:val="20"/>
        </w:rPr>
        <w:t>Adjustment for Scope</w:t>
      </w:r>
    </w:p>
    <w:p w14:paraId="5E5F6675">
      <w:pPr>
        <w:pStyle w:val="150"/>
        <w:spacing w:line="360" w:lineRule="auto"/>
        <w:rPr>
          <w:sz w:val="20"/>
        </w:rPr>
      </w:pPr>
      <w:r>
        <w:rPr>
          <w:sz w:val="20"/>
        </w:rPr>
        <w:t>1.</w:t>
      </w:r>
      <w:r>
        <w:rPr>
          <w:sz w:val="20"/>
          <w:lang w:eastAsia="zh-CN"/>
        </w:rPr>
        <w:t>2</w:t>
      </w:r>
      <w:r>
        <w:rPr>
          <w:sz w:val="20"/>
        </w:rPr>
        <w:t>.1.1</w:t>
      </w:r>
      <w:r>
        <w:rPr>
          <w:sz w:val="20"/>
        </w:rPr>
        <w:tab/>
      </w:r>
      <w:r>
        <w:rPr>
          <w:sz w:val="20"/>
        </w:rPr>
        <w:t>Local Handling and Inland Transportation</w:t>
      </w:r>
    </w:p>
    <w:p w14:paraId="0CEA80C1">
      <w:pPr>
        <w:pStyle w:val="151"/>
        <w:spacing w:line="360" w:lineRule="auto"/>
        <w:jc w:val="both"/>
        <w:rPr>
          <w:sz w:val="20"/>
        </w:rPr>
      </w:pPr>
      <w:r>
        <w:rPr>
          <w:sz w:val="20"/>
          <w:lang w:eastAsia="zh-CN"/>
        </w:rPr>
        <w:t>D</w:t>
      </w:r>
      <w:r>
        <w:rPr>
          <w:sz w:val="20"/>
        </w:rPr>
        <w:t>uring bid evaluation</w:t>
      </w:r>
      <w:r>
        <w:rPr>
          <w:sz w:val="20"/>
          <w:lang w:eastAsia="zh-CN"/>
        </w:rPr>
        <w:t>,</w:t>
      </w:r>
      <w:r>
        <w:rPr>
          <w:sz w:val="20"/>
        </w:rPr>
        <w:t xml:space="preserve"> the costs for inland transportation, insurance, and other services within the Purchaser’s country incidental to delivery of the goods to their final destination, </w:t>
      </w:r>
      <w:r>
        <w:rPr>
          <w:sz w:val="20"/>
          <w:lang w:eastAsia="zh-CN"/>
        </w:rPr>
        <w:t>the b</w:t>
      </w:r>
      <w:r>
        <w:rPr>
          <w:sz w:val="20"/>
        </w:rPr>
        <w:t xml:space="preserve">idder </w:t>
      </w:r>
      <w:r>
        <w:rPr>
          <w:sz w:val="20"/>
          <w:lang w:eastAsia="zh-CN"/>
        </w:rPr>
        <w:t>shall</w:t>
      </w:r>
      <w:r>
        <w:rPr>
          <w:sz w:val="20"/>
        </w:rPr>
        <w:t xml:space="preserve"> quote for these services as part of their bid price in the Price Schedule for Related Services to Be Offered from Outside and Within the Purchaser’s Country provided in Section 4 (Bidding Forms). </w:t>
      </w:r>
    </w:p>
    <w:p w14:paraId="1B5A3552">
      <w:pPr>
        <w:pStyle w:val="151"/>
        <w:spacing w:after="0" w:line="360" w:lineRule="auto"/>
        <w:ind w:left="720"/>
        <w:jc w:val="both"/>
        <w:rPr>
          <w:b/>
          <w:bCs/>
          <w:sz w:val="20"/>
        </w:rPr>
      </w:pPr>
    </w:p>
    <w:p w14:paraId="6EBC5005">
      <w:pPr>
        <w:pStyle w:val="150"/>
        <w:spacing w:line="360" w:lineRule="auto"/>
        <w:rPr>
          <w:b w:val="0"/>
          <w:bCs/>
          <w:sz w:val="20"/>
        </w:rPr>
      </w:pPr>
      <w:r>
        <w:rPr>
          <w:sz w:val="20"/>
        </w:rPr>
        <w:t>1.</w:t>
      </w:r>
      <w:r>
        <w:rPr>
          <w:sz w:val="20"/>
          <w:lang w:eastAsia="zh-CN"/>
        </w:rPr>
        <w:t>2</w:t>
      </w:r>
      <w:r>
        <w:rPr>
          <w:sz w:val="20"/>
        </w:rPr>
        <w:t>.1.2</w:t>
      </w:r>
      <w:r>
        <w:rPr>
          <w:sz w:val="20"/>
        </w:rPr>
        <w:tab/>
      </w:r>
      <w:r>
        <w:rPr>
          <w:sz w:val="20"/>
        </w:rPr>
        <w:t>Minor Omissions or Missing Items</w:t>
      </w:r>
    </w:p>
    <w:p w14:paraId="4956C9B9">
      <w:pPr>
        <w:pStyle w:val="151"/>
        <w:spacing w:line="360" w:lineRule="auto"/>
        <w:jc w:val="both"/>
        <w:rPr>
          <w:sz w:val="20"/>
          <w:lang w:eastAsia="zh-CN"/>
        </w:rPr>
      </w:pPr>
      <w:r>
        <w:rPr>
          <w:sz w:val="20"/>
          <w:lang w:eastAsia="zh-CN"/>
        </w:rPr>
        <w:t>The used method to the minor omissions or missing items in the scope of supply, services, etc.  is to use the criteria stipulated in Section 3 (Evaluation and Qualification Criteria).</w:t>
      </w:r>
    </w:p>
    <w:p w14:paraId="2185AC6E">
      <w:pPr>
        <w:pStyle w:val="151"/>
        <w:spacing w:before="240" w:after="160" w:line="360" w:lineRule="auto"/>
        <w:jc w:val="both"/>
        <w:rPr>
          <w:b/>
          <w:sz w:val="20"/>
        </w:rPr>
      </w:pPr>
      <w:r>
        <w:rPr>
          <w:b/>
          <w:sz w:val="20"/>
        </w:rPr>
        <w:t>1.</w:t>
      </w:r>
      <w:r>
        <w:rPr>
          <w:b/>
          <w:sz w:val="20"/>
          <w:lang w:eastAsia="zh-CN"/>
        </w:rPr>
        <w:t>2</w:t>
      </w:r>
      <w:r>
        <w:rPr>
          <w:b/>
          <w:sz w:val="20"/>
        </w:rPr>
        <w:t>.2</w:t>
      </w:r>
      <w:r>
        <w:rPr>
          <w:b/>
          <w:sz w:val="20"/>
        </w:rPr>
        <w:tab/>
      </w:r>
      <w:r>
        <w:rPr>
          <w:b/>
          <w:sz w:val="20"/>
        </w:rPr>
        <w:t>Adjustment for Deviations from the Terms of Payment</w:t>
      </w:r>
    </w:p>
    <w:p w14:paraId="2034B2DB">
      <w:pPr>
        <w:pStyle w:val="151"/>
        <w:spacing w:line="360" w:lineRule="auto"/>
        <w:jc w:val="both"/>
        <w:rPr>
          <w:sz w:val="20"/>
        </w:rPr>
      </w:pPr>
      <w:r>
        <w:rPr>
          <w:sz w:val="20"/>
          <w:lang w:eastAsia="zh-CN"/>
        </w:rPr>
        <w:t xml:space="preserve">The bidder shall quote the price according to </w:t>
      </w:r>
      <w:r>
        <w:rPr>
          <w:sz w:val="20"/>
        </w:rPr>
        <w:t>the terms of payment as specified in SCC 16.1</w:t>
      </w:r>
    </w:p>
    <w:p w14:paraId="20BE4C8F">
      <w:pPr>
        <w:pStyle w:val="151"/>
        <w:spacing w:before="240" w:after="160" w:line="360" w:lineRule="auto"/>
        <w:jc w:val="both"/>
        <w:rPr>
          <w:b/>
          <w:spacing w:val="-4"/>
          <w:sz w:val="20"/>
        </w:rPr>
      </w:pPr>
      <w:r>
        <w:rPr>
          <w:b/>
          <w:sz w:val="20"/>
        </w:rPr>
        <w:t>1.</w:t>
      </w:r>
      <w:r>
        <w:rPr>
          <w:b/>
          <w:sz w:val="20"/>
          <w:lang w:eastAsia="zh-CN"/>
        </w:rPr>
        <w:t>2</w:t>
      </w:r>
      <w:r>
        <w:rPr>
          <w:b/>
          <w:sz w:val="20"/>
        </w:rPr>
        <w:t>.3</w:t>
      </w:r>
      <w:r>
        <w:rPr>
          <w:b/>
          <w:sz w:val="20"/>
        </w:rPr>
        <w:tab/>
      </w:r>
      <w:r>
        <w:rPr>
          <w:b/>
          <w:sz w:val="20"/>
        </w:rPr>
        <w:t>Adjustment for Deviations in the Delivery and Completion Schedule</w:t>
      </w:r>
    </w:p>
    <w:p w14:paraId="3F8BCAFD">
      <w:pPr>
        <w:pStyle w:val="151"/>
        <w:spacing w:after="80" w:line="360" w:lineRule="auto"/>
        <w:jc w:val="both"/>
        <w:rPr>
          <w:sz w:val="20"/>
        </w:rPr>
      </w:pPr>
      <w:r>
        <w:rPr>
          <w:sz w:val="20"/>
        </w:rPr>
        <w:t xml:space="preserve">Bidders are required to base their prices on the Delivery and Completion Schedule specified in Section 6 (Schedule of Supply). </w:t>
      </w:r>
    </w:p>
    <w:p w14:paraId="70F718DC">
      <w:pPr>
        <w:pStyle w:val="150"/>
        <w:spacing w:line="360" w:lineRule="auto"/>
        <w:rPr>
          <w:sz w:val="20"/>
        </w:rPr>
      </w:pPr>
    </w:p>
    <w:p w14:paraId="52819EAA">
      <w:pPr>
        <w:pStyle w:val="150"/>
        <w:spacing w:line="360" w:lineRule="auto"/>
        <w:rPr>
          <w:b w:val="0"/>
          <w:sz w:val="20"/>
        </w:rPr>
      </w:pPr>
      <w:r>
        <w:rPr>
          <w:sz w:val="20"/>
        </w:rPr>
        <w:t>1.</w:t>
      </w:r>
      <w:r>
        <w:rPr>
          <w:sz w:val="20"/>
          <w:lang w:eastAsia="zh-CN"/>
        </w:rPr>
        <w:t>2</w:t>
      </w:r>
      <w:r>
        <w:rPr>
          <w:sz w:val="20"/>
        </w:rPr>
        <w:t>.4</w:t>
      </w:r>
      <w:r>
        <w:rPr>
          <w:sz w:val="20"/>
        </w:rPr>
        <w:tab/>
      </w:r>
      <w:r>
        <w:rPr>
          <w:sz w:val="20"/>
        </w:rPr>
        <w:t>Spare Parts</w:t>
      </w:r>
    </w:p>
    <w:p w14:paraId="51B0CB94">
      <w:pPr>
        <w:pStyle w:val="35"/>
        <w:spacing w:after="80" w:line="360" w:lineRule="auto"/>
        <w:ind w:left="0"/>
        <w:rPr>
          <w:sz w:val="20"/>
          <w:lang w:val="en-GB"/>
        </w:rPr>
      </w:pPr>
      <w:r>
        <w:rPr>
          <w:sz w:val="20"/>
          <w:lang w:val="en-GB"/>
        </w:rPr>
        <w:t>Only those spare parts and tools that are specified on an item-wise basis in the List of Goods and Related Services in Section 6 (Schedule of Supply), shall be taken into account in the bid evaluation. Supplier-recommended spare parts for a specified operating requirement shall not be considered in bid evaluation.</w:t>
      </w:r>
    </w:p>
    <w:p w14:paraId="067ED538">
      <w:pPr>
        <w:pStyle w:val="151"/>
        <w:spacing w:line="360" w:lineRule="auto"/>
        <w:ind w:left="1440" w:hanging="360"/>
        <w:rPr>
          <w:sz w:val="20"/>
        </w:rPr>
      </w:pPr>
    </w:p>
    <w:p w14:paraId="4AC680C3">
      <w:pPr>
        <w:pStyle w:val="7"/>
        <w:numPr>
          <w:ilvl w:val="4"/>
          <w:numId w:val="19"/>
        </w:numPr>
        <w:spacing w:before="80" w:after="120" w:line="360" w:lineRule="auto"/>
        <w:jc w:val="left"/>
        <w:rPr>
          <w:sz w:val="40"/>
          <w:szCs w:val="40"/>
        </w:rPr>
      </w:pPr>
      <w:bookmarkStart w:id="4" w:name="_Toc483903780"/>
      <w:r>
        <w:rPr>
          <w:sz w:val="40"/>
          <w:szCs w:val="40"/>
        </w:rPr>
        <w:br w:type="page"/>
      </w:r>
      <w:r>
        <w:rPr>
          <w:sz w:val="24"/>
          <w:szCs w:val="24"/>
        </w:rPr>
        <w:t>*2. Qualification Criteria</w:t>
      </w:r>
    </w:p>
    <w:p w14:paraId="3C469441">
      <w:pPr>
        <w:keepNext/>
        <w:spacing w:before="120" w:after="120" w:line="360" w:lineRule="auto"/>
        <w:outlineLvl w:val="0"/>
        <w:rPr>
          <w:b/>
          <w:sz w:val="20"/>
          <w:lang w:val="en-MY" w:eastAsia="zh-CN"/>
        </w:rPr>
      </w:pPr>
      <w:r>
        <w:rPr>
          <w:sz w:val="20"/>
          <w:lang w:val="en-GB"/>
        </w:rPr>
        <w:t>The legal</w:t>
      </w:r>
      <w:r>
        <w:rPr>
          <w:sz w:val="20"/>
        </w:rPr>
        <w:t xml:space="preserve"> entity or entities comprising the Bidder, and not the Bidder’s parent companies, subsidiaries, or affiliates, must satisfy the qualification criteria described below.</w:t>
      </w:r>
      <w:r>
        <w:t xml:space="preserve"> </w:t>
      </w:r>
      <w:r>
        <w:rPr>
          <w:b/>
          <w:sz w:val="20"/>
        </w:rPr>
        <w:t>If any of the qualification criteria are not met, the bid will be rejected as non-responsive.</w:t>
      </w:r>
    </w:p>
    <w:p w14:paraId="7AB24C2A">
      <w:pPr>
        <w:keepNext/>
        <w:spacing w:line="360" w:lineRule="auto"/>
        <w:ind w:left="630" w:hanging="630"/>
        <w:outlineLvl w:val="0"/>
        <w:rPr>
          <w:b/>
          <w:sz w:val="20"/>
          <w:lang w:val="en-MY" w:eastAsia="zh-CN"/>
        </w:rPr>
      </w:pPr>
      <w:r>
        <w:rPr>
          <w:b/>
          <w:sz w:val="20"/>
          <w:lang w:val="en-MY" w:eastAsia="zh-CN"/>
        </w:rPr>
        <w:t>2.1</w:t>
      </w:r>
      <w:r>
        <w:rPr>
          <w:b/>
          <w:sz w:val="20"/>
          <w:lang w:val="en-MY" w:eastAsia="zh-CN"/>
        </w:rPr>
        <w:tab/>
      </w:r>
      <w:r>
        <w:rPr>
          <w:b/>
          <w:sz w:val="20"/>
          <w:lang w:val="en-MY" w:eastAsia="zh-CN"/>
        </w:rPr>
        <w:t>Eligibility and Pending Litigation</w:t>
      </w:r>
    </w:p>
    <w:p w14:paraId="2520DD32">
      <w:pPr>
        <w:keepNext/>
        <w:spacing w:line="360" w:lineRule="auto"/>
        <w:ind w:left="630" w:hanging="630"/>
        <w:outlineLvl w:val="0"/>
        <w:rPr>
          <w:b/>
          <w:sz w:val="20"/>
          <w:lang w:val="en-MY" w:eastAsia="zh-CN"/>
        </w:rPr>
      </w:pPr>
      <w:r>
        <w:rPr>
          <w:b/>
          <w:sz w:val="20"/>
          <w:lang w:val="en-MY" w:eastAsia="zh-CN"/>
        </w:rPr>
        <w:t>2.1.1</w:t>
      </w:r>
      <w:r>
        <w:rPr>
          <w:b/>
          <w:sz w:val="20"/>
          <w:lang w:val="en-MY" w:eastAsia="zh-CN"/>
        </w:rPr>
        <w:tab/>
      </w:r>
      <w:r>
        <w:rPr>
          <w:b/>
          <w:sz w:val="20"/>
          <w:lang w:val="en-MY" w:eastAsia="zh-CN"/>
        </w:rPr>
        <w:t>Eligibility</w:t>
      </w:r>
    </w:p>
    <w:p w14:paraId="78D29D67">
      <w:pPr>
        <w:tabs>
          <w:tab w:val="right" w:pos="7254"/>
        </w:tabs>
        <w:spacing w:line="360" w:lineRule="auto"/>
        <w:rPr>
          <w:sz w:val="20"/>
          <w:lang w:eastAsia="zh-CN"/>
        </w:rPr>
      </w:pPr>
      <w:r>
        <w:rPr>
          <w:b/>
          <w:bCs/>
          <w:kern w:val="32"/>
          <w:sz w:val="20"/>
        </w:rPr>
        <w:t xml:space="preserve">2.1.1.1 </w:t>
      </w:r>
      <w:r>
        <w:rPr>
          <w:bCs/>
          <w:kern w:val="32"/>
          <w:sz w:val="20"/>
        </w:rPr>
        <w:t>The</w:t>
      </w:r>
      <w:r>
        <w:rPr>
          <w:sz w:val="20"/>
          <w:lang w:eastAsia="zh-CN"/>
        </w:rPr>
        <w:t xml:space="preserve"> bidder be shall an independent legal entity registered according to law and also shall have the nationality of an eligible country, in accordance with Section 5 (Eligible Countries). The domestic bidders shall be in business for no less than 5 years (date on business license shall prevail), and the bidder shall provide copies of valid business license in the bid. The foreign bidder shall be in business for no less than 5 years and the bidder shall provide the copies of business license or other documentary evidence for the date of their legal registration with the bid.</w:t>
      </w:r>
    </w:p>
    <w:p w14:paraId="42ED7B3E">
      <w:pPr>
        <w:keepNext/>
        <w:spacing w:line="360" w:lineRule="auto"/>
        <w:outlineLvl w:val="0"/>
        <w:rPr>
          <w:bCs/>
          <w:kern w:val="32"/>
          <w:sz w:val="20"/>
          <w:lang w:eastAsia="zh-CN"/>
        </w:rPr>
      </w:pPr>
      <w:r>
        <w:rPr>
          <w:bCs/>
          <w:kern w:val="32"/>
          <w:sz w:val="20"/>
        </w:rPr>
        <w:t xml:space="preserve">Document </w:t>
      </w:r>
      <w:r>
        <w:rPr>
          <w:bCs/>
          <w:kern w:val="32"/>
          <w:sz w:val="20"/>
          <w:lang w:eastAsia="zh-CN"/>
        </w:rPr>
        <w:t>s</w:t>
      </w:r>
      <w:r>
        <w:rPr>
          <w:bCs/>
          <w:kern w:val="32"/>
          <w:sz w:val="20"/>
        </w:rPr>
        <w:t xml:space="preserve">ubmission </w:t>
      </w:r>
      <w:r>
        <w:rPr>
          <w:bCs/>
          <w:kern w:val="32"/>
          <w:sz w:val="20"/>
          <w:lang w:eastAsia="zh-CN"/>
        </w:rPr>
        <w:t>r</w:t>
      </w:r>
      <w:r>
        <w:rPr>
          <w:bCs/>
          <w:kern w:val="32"/>
          <w:sz w:val="20"/>
        </w:rPr>
        <w:t xml:space="preserve">equirements: Section 4 </w:t>
      </w:r>
      <w:r>
        <w:rPr>
          <w:bCs/>
          <w:kern w:val="32"/>
          <w:sz w:val="20"/>
          <w:lang w:eastAsia="zh-CN"/>
        </w:rPr>
        <w:t>For</w:t>
      </w:r>
      <w:r>
        <w:rPr>
          <w:bCs/>
          <w:kern w:val="32"/>
          <w:sz w:val="20"/>
        </w:rPr>
        <w:t>ms ELI -1 (Bidder Information Form) and related supporting documents.</w:t>
      </w:r>
    </w:p>
    <w:p w14:paraId="2B9DD90F">
      <w:pPr>
        <w:keepNext/>
        <w:spacing w:line="360" w:lineRule="auto"/>
        <w:outlineLvl w:val="0"/>
        <w:rPr>
          <w:b/>
          <w:bCs/>
          <w:kern w:val="32"/>
          <w:sz w:val="20"/>
          <w:lang w:eastAsia="zh-CN"/>
        </w:rPr>
      </w:pPr>
    </w:p>
    <w:p w14:paraId="619CDEA0">
      <w:pPr>
        <w:keepNext/>
        <w:spacing w:line="360" w:lineRule="auto"/>
        <w:ind w:left="630" w:hanging="630"/>
        <w:outlineLvl w:val="0"/>
        <w:rPr>
          <w:b/>
          <w:bCs/>
          <w:kern w:val="32"/>
          <w:sz w:val="20"/>
        </w:rPr>
      </w:pPr>
      <w:r>
        <w:rPr>
          <w:b/>
          <w:bCs/>
          <w:kern w:val="32"/>
          <w:sz w:val="20"/>
        </w:rPr>
        <w:t>2.1.1.2</w:t>
      </w:r>
      <w:r>
        <w:rPr>
          <w:b/>
          <w:bCs/>
          <w:kern w:val="32"/>
          <w:sz w:val="20"/>
        </w:rPr>
        <w:tab/>
      </w:r>
      <w:r>
        <w:rPr>
          <w:b/>
          <w:bCs/>
          <w:kern w:val="32"/>
          <w:sz w:val="20"/>
        </w:rPr>
        <w:t xml:space="preserve"> Conflict of Interest</w:t>
      </w:r>
    </w:p>
    <w:p w14:paraId="5A159995">
      <w:pPr>
        <w:keepNext/>
        <w:spacing w:line="360" w:lineRule="auto"/>
        <w:outlineLvl w:val="0"/>
        <w:rPr>
          <w:sz w:val="20"/>
          <w:lang w:eastAsia="zh-CN"/>
        </w:rPr>
      </w:pPr>
      <w:r>
        <w:rPr>
          <w:bCs/>
          <w:kern w:val="32"/>
          <w:sz w:val="20"/>
        </w:rPr>
        <w:t>According to ITB Sub</w:t>
      </w:r>
      <w:r>
        <w:rPr>
          <w:bCs/>
          <w:kern w:val="32"/>
          <w:sz w:val="20"/>
          <w:lang w:eastAsia="zh-CN"/>
        </w:rPr>
        <w:t>-</w:t>
      </w:r>
      <w:r>
        <w:rPr>
          <w:bCs/>
          <w:kern w:val="32"/>
          <w:sz w:val="20"/>
        </w:rPr>
        <w:t xml:space="preserve">clause 4.3, </w:t>
      </w:r>
      <w:r>
        <w:rPr>
          <w:bCs/>
          <w:kern w:val="32"/>
          <w:sz w:val="20"/>
          <w:lang w:eastAsia="zh-CN"/>
        </w:rPr>
        <w:t xml:space="preserve">a </w:t>
      </w:r>
      <w:r>
        <w:rPr>
          <w:bCs/>
          <w:kern w:val="32"/>
          <w:sz w:val="20"/>
        </w:rPr>
        <w:t xml:space="preserve">bidder </w:t>
      </w:r>
      <w:r>
        <w:rPr>
          <w:bCs/>
          <w:kern w:val="32"/>
          <w:sz w:val="20"/>
          <w:lang w:eastAsia="zh-CN"/>
        </w:rPr>
        <w:t xml:space="preserve">shall </w:t>
      </w:r>
      <w:r>
        <w:rPr>
          <w:bCs/>
          <w:kern w:val="32"/>
          <w:sz w:val="20"/>
        </w:rPr>
        <w:t xml:space="preserve">not have a conflict of interest. </w:t>
      </w:r>
      <w:r>
        <w:rPr>
          <w:sz w:val="20"/>
        </w:rPr>
        <w:t xml:space="preserve">All Bidders found to have a conflict of interest shall be disqualified. </w:t>
      </w:r>
    </w:p>
    <w:p w14:paraId="09B1D3D5">
      <w:pPr>
        <w:keepNext/>
        <w:spacing w:line="360" w:lineRule="auto"/>
        <w:outlineLvl w:val="0"/>
        <w:rPr>
          <w:bCs/>
          <w:kern w:val="32"/>
          <w:sz w:val="20"/>
          <w:lang w:eastAsia="zh-CN"/>
        </w:rPr>
      </w:pPr>
    </w:p>
    <w:p w14:paraId="061838AC">
      <w:pPr>
        <w:keepNext/>
        <w:spacing w:line="360" w:lineRule="auto"/>
        <w:ind w:left="630" w:hanging="630"/>
        <w:outlineLvl w:val="0"/>
        <w:rPr>
          <w:b/>
          <w:bCs/>
          <w:kern w:val="32"/>
          <w:sz w:val="20"/>
        </w:rPr>
      </w:pPr>
      <w:r>
        <w:rPr>
          <w:b/>
          <w:bCs/>
          <w:kern w:val="32"/>
          <w:sz w:val="20"/>
        </w:rPr>
        <w:t>2.1.1.</w:t>
      </w:r>
      <w:r>
        <w:rPr>
          <w:b/>
          <w:bCs/>
          <w:kern w:val="32"/>
          <w:sz w:val="20"/>
          <w:lang w:eastAsia="zh-CN"/>
        </w:rPr>
        <w:t>3</w:t>
      </w:r>
      <w:r>
        <w:rPr>
          <w:b/>
          <w:bCs/>
          <w:kern w:val="32"/>
          <w:sz w:val="20"/>
        </w:rPr>
        <w:t xml:space="preserve"> </w:t>
      </w:r>
      <w:r>
        <w:rPr>
          <w:b/>
          <w:bCs/>
          <w:kern w:val="32"/>
          <w:sz w:val="20"/>
        </w:rPr>
        <w:tab/>
      </w:r>
      <w:r>
        <w:rPr>
          <w:b/>
          <w:bCs/>
          <w:kern w:val="32"/>
          <w:sz w:val="20"/>
        </w:rPr>
        <w:t>Government-Owned Enterprise</w:t>
      </w:r>
    </w:p>
    <w:p w14:paraId="6A42CAFD">
      <w:pPr>
        <w:keepNext/>
        <w:spacing w:line="360" w:lineRule="auto"/>
        <w:ind w:left="630" w:hanging="630"/>
        <w:outlineLvl w:val="0"/>
        <w:rPr>
          <w:sz w:val="20"/>
        </w:rPr>
      </w:pPr>
      <w:r>
        <w:rPr>
          <w:sz w:val="20"/>
          <w:lang w:eastAsia="zh-CN"/>
        </w:rPr>
        <w:t>The b</w:t>
      </w:r>
      <w:r>
        <w:rPr>
          <w:sz w:val="20"/>
        </w:rPr>
        <w:t xml:space="preserve">idder </w:t>
      </w:r>
      <w:r>
        <w:rPr>
          <w:sz w:val="20"/>
          <w:lang w:eastAsia="zh-CN"/>
        </w:rPr>
        <w:t xml:space="preserve">shall </w:t>
      </w:r>
      <w:r>
        <w:rPr>
          <w:sz w:val="20"/>
        </w:rPr>
        <w:t xml:space="preserve">meet </w:t>
      </w:r>
      <w:r>
        <w:rPr>
          <w:sz w:val="20"/>
          <w:lang w:eastAsia="zh-CN"/>
        </w:rPr>
        <w:t xml:space="preserve">the </w:t>
      </w:r>
      <w:r>
        <w:rPr>
          <w:sz w:val="20"/>
        </w:rPr>
        <w:t>conditions of ITB Sub</w:t>
      </w:r>
      <w:r>
        <w:rPr>
          <w:sz w:val="20"/>
          <w:lang w:eastAsia="zh-CN"/>
        </w:rPr>
        <w:t>-</w:t>
      </w:r>
      <w:r>
        <w:rPr>
          <w:sz w:val="20"/>
        </w:rPr>
        <w:t>clause 4.5</w:t>
      </w:r>
    </w:p>
    <w:p w14:paraId="1F724812">
      <w:pPr>
        <w:keepNext/>
        <w:spacing w:line="360" w:lineRule="auto"/>
        <w:ind w:left="630" w:hanging="630"/>
        <w:outlineLvl w:val="0"/>
        <w:rPr>
          <w:bCs/>
          <w:kern w:val="32"/>
          <w:sz w:val="20"/>
          <w:lang w:eastAsia="zh-CN"/>
        </w:rPr>
      </w:pPr>
      <w:r>
        <w:rPr>
          <w:bCs/>
          <w:kern w:val="32"/>
          <w:sz w:val="20"/>
        </w:rPr>
        <w:t xml:space="preserve">Document </w:t>
      </w:r>
      <w:r>
        <w:rPr>
          <w:bCs/>
          <w:kern w:val="32"/>
          <w:sz w:val="20"/>
          <w:lang w:eastAsia="zh-CN"/>
        </w:rPr>
        <w:t>s</w:t>
      </w:r>
      <w:r>
        <w:rPr>
          <w:bCs/>
          <w:kern w:val="32"/>
          <w:sz w:val="20"/>
        </w:rPr>
        <w:t xml:space="preserve">ubmission </w:t>
      </w:r>
      <w:r>
        <w:rPr>
          <w:bCs/>
          <w:kern w:val="32"/>
          <w:sz w:val="20"/>
          <w:lang w:eastAsia="zh-CN"/>
        </w:rPr>
        <w:t>r</w:t>
      </w:r>
      <w:r>
        <w:rPr>
          <w:bCs/>
          <w:kern w:val="32"/>
          <w:sz w:val="20"/>
        </w:rPr>
        <w:t>equirements: Section 4 Forms ELI -1 (Bidder Information Sheet)</w:t>
      </w:r>
      <w:r>
        <w:rPr>
          <w:bCs/>
          <w:kern w:val="32"/>
          <w:sz w:val="20"/>
          <w:lang w:eastAsia="zh-CN"/>
        </w:rPr>
        <w:t>.</w:t>
      </w:r>
    </w:p>
    <w:p w14:paraId="7E438D30">
      <w:pPr>
        <w:keepNext/>
        <w:spacing w:line="360" w:lineRule="auto"/>
        <w:ind w:left="630" w:hanging="630"/>
        <w:outlineLvl w:val="0"/>
        <w:rPr>
          <w:bCs/>
          <w:kern w:val="32"/>
          <w:sz w:val="20"/>
        </w:rPr>
      </w:pPr>
    </w:p>
    <w:p w14:paraId="008C628D">
      <w:pPr>
        <w:keepNext/>
        <w:spacing w:line="360" w:lineRule="auto"/>
        <w:ind w:left="630" w:hanging="630"/>
        <w:outlineLvl w:val="0"/>
        <w:rPr>
          <w:b/>
          <w:bCs/>
          <w:kern w:val="32"/>
          <w:sz w:val="20"/>
        </w:rPr>
      </w:pPr>
      <w:r>
        <w:rPr>
          <w:b/>
          <w:bCs/>
          <w:kern w:val="32"/>
          <w:sz w:val="20"/>
        </w:rPr>
        <w:t>2.1.1.</w:t>
      </w:r>
      <w:r>
        <w:rPr>
          <w:b/>
          <w:bCs/>
          <w:kern w:val="32"/>
          <w:sz w:val="20"/>
          <w:lang w:eastAsia="zh-CN"/>
        </w:rPr>
        <w:t>4</w:t>
      </w:r>
      <w:r>
        <w:rPr>
          <w:b/>
          <w:bCs/>
          <w:kern w:val="32"/>
          <w:sz w:val="20"/>
        </w:rPr>
        <w:tab/>
      </w:r>
      <w:r>
        <w:rPr>
          <w:b/>
          <w:bCs/>
          <w:kern w:val="32"/>
          <w:sz w:val="20"/>
        </w:rPr>
        <w:t xml:space="preserve"> United Nations Eligibility</w:t>
      </w:r>
    </w:p>
    <w:p w14:paraId="24AD754B">
      <w:pPr>
        <w:keepNext/>
        <w:spacing w:line="360" w:lineRule="auto"/>
        <w:jc w:val="left"/>
        <w:outlineLvl w:val="0"/>
        <w:rPr>
          <w:lang w:eastAsia="zh-CN"/>
        </w:rPr>
      </w:pPr>
      <w:r>
        <w:rPr>
          <w:sz w:val="20"/>
          <w:lang w:eastAsia="zh-CN"/>
        </w:rPr>
        <w:t>The bidder shall n</w:t>
      </w:r>
      <w:r>
        <w:rPr>
          <w:sz w:val="20"/>
        </w:rPr>
        <w:t>ot have been excluded by United Nations Security Council resolution</w:t>
      </w:r>
      <w:r>
        <w:rPr>
          <w:sz w:val="20"/>
          <w:lang w:eastAsia="zh-CN"/>
        </w:rPr>
        <w:t>s</w:t>
      </w:r>
      <w:r>
        <w:rPr>
          <w:sz w:val="20"/>
        </w:rPr>
        <w:t xml:space="preserve"> in accordance with ITB Sub</w:t>
      </w:r>
      <w:r>
        <w:rPr>
          <w:sz w:val="20"/>
          <w:lang w:eastAsia="zh-CN"/>
        </w:rPr>
        <w:t>-</w:t>
      </w:r>
      <w:r>
        <w:rPr>
          <w:sz w:val="20"/>
        </w:rPr>
        <w:t>clause 4.</w:t>
      </w:r>
      <w:r>
        <w:rPr>
          <w:sz w:val="20"/>
          <w:lang w:eastAsia="zh-CN"/>
        </w:rPr>
        <w:t>8</w:t>
      </w:r>
      <w:r>
        <w:rPr>
          <w:sz w:val="20"/>
        </w:rPr>
        <w:t>.</w:t>
      </w:r>
    </w:p>
    <w:p w14:paraId="2D798F52">
      <w:pPr>
        <w:keepNext/>
        <w:spacing w:line="360" w:lineRule="auto"/>
        <w:jc w:val="left"/>
        <w:outlineLvl w:val="0"/>
        <w:rPr>
          <w:lang w:eastAsia="zh-CN"/>
        </w:rPr>
      </w:pPr>
    </w:p>
    <w:p w14:paraId="2B7C104C">
      <w:pPr>
        <w:keepNext/>
        <w:spacing w:line="360" w:lineRule="auto"/>
        <w:jc w:val="left"/>
        <w:outlineLvl w:val="0"/>
        <w:rPr>
          <w:b/>
          <w:sz w:val="20"/>
          <w:lang w:val="en-MY" w:eastAsia="zh-CN"/>
        </w:rPr>
      </w:pPr>
      <w:r>
        <w:rPr>
          <w:b/>
          <w:sz w:val="20"/>
          <w:lang w:val="en-MY" w:eastAsia="zh-CN"/>
        </w:rPr>
        <w:t>2.1.2</w:t>
      </w:r>
      <w:r>
        <w:rPr>
          <w:b/>
          <w:sz w:val="20"/>
          <w:lang w:val="en-MY" w:eastAsia="zh-CN"/>
        </w:rPr>
        <w:tab/>
      </w:r>
      <w:r>
        <w:rPr>
          <w:b/>
          <w:sz w:val="20"/>
          <w:lang w:val="en-MY" w:eastAsia="zh-CN"/>
        </w:rPr>
        <w:t>Pending Litigation</w:t>
      </w:r>
    </w:p>
    <w:p w14:paraId="518A0B16">
      <w:pPr>
        <w:tabs>
          <w:tab w:val="left" w:pos="180"/>
        </w:tabs>
        <w:spacing w:line="360" w:lineRule="auto"/>
        <w:rPr>
          <w:b/>
          <w:sz w:val="20"/>
        </w:rPr>
      </w:pPr>
      <w:r>
        <w:rPr>
          <w:b/>
          <w:sz w:val="20"/>
        </w:rPr>
        <w:t>2.1.2.1   Pending Litigation and Arbitration</w:t>
      </w:r>
    </w:p>
    <w:p w14:paraId="37D83A86">
      <w:pPr>
        <w:spacing w:line="360" w:lineRule="auto"/>
        <w:rPr>
          <w:rFonts w:eastAsia="Arial Unicode MS"/>
          <w:b/>
          <w:bCs/>
        </w:rPr>
      </w:pPr>
      <w:r>
        <w:rPr>
          <w:sz w:val="20"/>
        </w:rPr>
        <w:t>All pending litigation and arbitration, if any, shall be treated as resolved against the Bidder and so shall in total not represent more than</w:t>
      </w:r>
      <w:r>
        <w:rPr>
          <w:sz w:val="20"/>
          <w:u w:val="single"/>
        </w:rPr>
        <w:t xml:space="preserve"> </w:t>
      </w:r>
      <w:r>
        <w:rPr>
          <w:sz w:val="20"/>
          <w:u w:val="single"/>
          <w:lang w:eastAsia="zh-CN"/>
        </w:rPr>
        <w:t xml:space="preserve">50 </w:t>
      </w:r>
      <w:r>
        <w:rPr>
          <w:sz w:val="20"/>
        </w:rPr>
        <w:t>percent of the Bidder’s net worth calculated as the difference between total assets and total liabilities.</w:t>
      </w:r>
    </w:p>
    <w:p w14:paraId="7D49FBA5">
      <w:pPr>
        <w:spacing w:line="360" w:lineRule="auto"/>
        <w:rPr>
          <w:sz w:val="20"/>
        </w:rPr>
      </w:pPr>
      <w:r>
        <w:rPr>
          <w:sz w:val="20"/>
        </w:rPr>
        <w:t xml:space="preserve">Document </w:t>
      </w:r>
      <w:r>
        <w:rPr>
          <w:sz w:val="20"/>
          <w:lang w:eastAsia="zh-CN"/>
        </w:rPr>
        <w:t>s</w:t>
      </w:r>
      <w:r>
        <w:rPr>
          <w:sz w:val="20"/>
        </w:rPr>
        <w:t xml:space="preserve">ubmission </w:t>
      </w:r>
      <w:r>
        <w:rPr>
          <w:sz w:val="20"/>
          <w:lang w:eastAsia="zh-CN"/>
        </w:rPr>
        <w:t>r</w:t>
      </w:r>
      <w:r>
        <w:rPr>
          <w:sz w:val="20"/>
        </w:rPr>
        <w:t>equirements: Section 4 Form LIT-1 (Pending Litigation and Arbitration).</w:t>
      </w:r>
    </w:p>
    <w:p w14:paraId="1A47E866">
      <w:pPr>
        <w:tabs>
          <w:tab w:val="left" w:pos="1035"/>
        </w:tabs>
        <w:spacing w:line="360" w:lineRule="auto"/>
        <w:rPr>
          <w:b/>
          <w:bCs/>
          <w:sz w:val="16"/>
          <w:szCs w:val="28"/>
        </w:rPr>
      </w:pPr>
    </w:p>
    <w:p w14:paraId="53AB437B">
      <w:pPr>
        <w:spacing w:line="360" w:lineRule="auto"/>
        <w:ind w:right="468"/>
        <w:rPr>
          <w:b/>
          <w:sz w:val="20"/>
          <w:lang w:val="en-MY" w:eastAsia="zh-CN"/>
        </w:rPr>
      </w:pPr>
      <w:r>
        <w:rPr>
          <w:b/>
          <w:sz w:val="20"/>
          <w:lang w:val="en-MY" w:eastAsia="zh-CN"/>
        </w:rPr>
        <w:t xml:space="preserve">2.2 </w:t>
      </w:r>
      <w:r>
        <w:rPr>
          <w:b/>
          <w:sz w:val="20"/>
          <w:lang w:val="en-MY" w:eastAsia="zh-CN"/>
        </w:rPr>
        <w:tab/>
      </w:r>
      <w:r>
        <w:rPr>
          <w:b/>
          <w:sz w:val="20"/>
          <w:lang w:val="en-MY" w:eastAsia="zh-CN"/>
        </w:rPr>
        <w:t>Contractual Experience</w:t>
      </w:r>
    </w:p>
    <w:p w14:paraId="6C48A8E3">
      <w:pPr>
        <w:spacing w:line="360" w:lineRule="auto"/>
        <w:ind w:right="468"/>
        <w:rPr>
          <w:b/>
          <w:sz w:val="20"/>
          <w:lang w:val="en-MY" w:eastAsia="zh-CN"/>
        </w:rPr>
      </w:pPr>
      <w:r>
        <w:rPr>
          <w:b/>
          <w:sz w:val="20"/>
          <w:lang w:val="en-MY" w:eastAsia="zh-CN"/>
        </w:rPr>
        <w:t>2.2.1</w:t>
      </w:r>
      <w:r>
        <w:rPr>
          <w:b/>
          <w:sz w:val="20"/>
          <w:lang w:val="en-MY" w:eastAsia="zh-CN"/>
        </w:rPr>
        <w:tab/>
      </w:r>
      <w:r>
        <w:rPr>
          <w:b/>
          <w:sz w:val="20"/>
          <w:lang w:val="en-MY" w:eastAsia="zh-CN"/>
        </w:rPr>
        <w:t xml:space="preserve">Contractual Experience </w:t>
      </w:r>
    </w:p>
    <w:p w14:paraId="3A83F930">
      <w:pPr>
        <w:spacing w:line="360" w:lineRule="auto"/>
        <w:ind w:right="468"/>
        <w:rPr>
          <w:bCs/>
          <w:iCs/>
          <w:sz w:val="16"/>
          <w:shd w:val="solid" w:color="auto" w:fill="auto"/>
        </w:rPr>
      </w:pPr>
      <w:r>
        <w:rPr>
          <w:sz w:val="20"/>
          <w:lang w:eastAsia="zh-CN"/>
        </w:rPr>
        <w:t xml:space="preserve">The bidder shall have completed at least three similar medical equipment procurement contracts in China which are financed by international financial institution or foreign government loan since 2019 (the date of Notification of Award shall prevail)  and each contract amount shall not be less than EUR </w:t>
      </w:r>
      <w:r>
        <w:rPr>
          <w:rFonts w:hint="eastAsia"/>
          <w:sz w:val="20"/>
          <w:lang w:val="en-US" w:eastAsia="zh-CN"/>
        </w:rPr>
        <w:t>5</w:t>
      </w:r>
      <w:r>
        <w:rPr>
          <w:sz w:val="20"/>
          <w:lang w:eastAsia="zh-CN"/>
        </w:rPr>
        <w:t xml:space="preserve"> million or the equivalent value; among which, at least </w:t>
      </w:r>
      <w:r>
        <w:rPr>
          <w:rFonts w:hint="eastAsia"/>
          <w:sz w:val="20"/>
          <w:lang w:val="en-US" w:eastAsia="zh-CN"/>
        </w:rPr>
        <w:t>one</w:t>
      </w:r>
      <w:r>
        <w:rPr>
          <w:sz w:val="20"/>
          <w:lang w:eastAsia="zh-CN"/>
        </w:rPr>
        <w:t xml:space="preserve"> of them are similar medical equipment procurement contracts financed by German Promotional Loan. </w:t>
      </w:r>
    </w:p>
    <w:p w14:paraId="73FB6F7D">
      <w:pPr>
        <w:spacing w:line="360" w:lineRule="auto"/>
        <w:ind w:right="468"/>
        <w:rPr>
          <w:sz w:val="20"/>
          <w:lang w:eastAsia="zh-CN"/>
        </w:rPr>
      </w:pPr>
      <w:r>
        <w:rPr>
          <w:sz w:val="20"/>
          <w:lang w:eastAsia="zh-CN"/>
        </w:rPr>
        <w:t xml:space="preserve">The copies (the originals shall </w:t>
      </w:r>
      <w:r>
        <w:rPr>
          <w:rFonts w:hint="eastAsia"/>
          <w:sz w:val="20"/>
          <w:lang w:eastAsia="zh-CN"/>
        </w:rPr>
        <w:t>be ready for inspection.</w:t>
      </w:r>
      <w:r>
        <w:rPr>
          <w:sz w:val="20"/>
          <w:lang w:eastAsia="zh-CN"/>
        </w:rPr>
        <w:t xml:space="preserve"> ) of the corresponding proof materials with the stamp of the bidder’s seal shall be provided in the bid: notification of award, key pages of contract  (Notes: the copies of contract provided in the bid shall include the contract pages to indicate the following content: date of the contract, name and content of the project, contract amount and signatures of the contract parties, page of the equipment (price information can be deleted ), the employer’s contact information, Final Acceptance Certificate for the project. </w:t>
      </w:r>
    </w:p>
    <w:p w14:paraId="0FF11270">
      <w:pPr>
        <w:spacing w:line="360" w:lineRule="auto"/>
        <w:ind w:right="468"/>
        <w:rPr>
          <w:sz w:val="20"/>
        </w:rPr>
      </w:pPr>
    </w:p>
    <w:p w14:paraId="2E5D0843">
      <w:pPr>
        <w:spacing w:line="360" w:lineRule="auto"/>
        <w:ind w:right="468"/>
        <w:rPr>
          <w:sz w:val="20"/>
          <w:lang w:eastAsia="zh-CN"/>
        </w:rPr>
      </w:pPr>
      <w:r>
        <w:rPr>
          <w:sz w:val="20"/>
        </w:rPr>
        <w:t xml:space="preserve">Document </w:t>
      </w:r>
      <w:r>
        <w:rPr>
          <w:sz w:val="20"/>
          <w:lang w:eastAsia="zh-CN"/>
        </w:rPr>
        <w:t>s</w:t>
      </w:r>
      <w:r>
        <w:rPr>
          <w:sz w:val="20"/>
        </w:rPr>
        <w:t xml:space="preserve">ubmission </w:t>
      </w:r>
      <w:r>
        <w:rPr>
          <w:sz w:val="20"/>
          <w:lang w:eastAsia="zh-CN"/>
        </w:rPr>
        <w:t>r</w:t>
      </w:r>
      <w:r>
        <w:rPr>
          <w:sz w:val="20"/>
        </w:rPr>
        <w:t xml:space="preserve">equirements: Section 4 Form EXP - </w:t>
      </w:r>
      <w:r>
        <w:rPr>
          <w:sz w:val="20"/>
          <w:lang w:eastAsia="zh-CN"/>
        </w:rPr>
        <w:t>1</w:t>
      </w:r>
      <w:r>
        <w:rPr>
          <w:sz w:val="20"/>
        </w:rPr>
        <w:t xml:space="preserve"> (Contractual Experience)</w:t>
      </w:r>
      <w:r>
        <w:rPr>
          <w:sz w:val="20"/>
          <w:lang w:eastAsia="zh-CN"/>
        </w:rPr>
        <w:t xml:space="preserve"> and the relevant supporting documents.</w:t>
      </w:r>
    </w:p>
    <w:p w14:paraId="4212C74F">
      <w:pPr>
        <w:spacing w:line="360" w:lineRule="auto"/>
        <w:rPr>
          <w:sz w:val="20"/>
          <w:lang w:eastAsia="zh-CN"/>
        </w:rPr>
      </w:pPr>
    </w:p>
    <w:p w14:paraId="6574FAC9">
      <w:pPr>
        <w:spacing w:line="360" w:lineRule="auto"/>
        <w:rPr>
          <w:b/>
          <w:sz w:val="20"/>
          <w:lang w:val="en-MY" w:eastAsia="zh-CN"/>
        </w:rPr>
      </w:pPr>
    </w:p>
    <w:p w14:paraId="53C5F019">
      <w:pPr>
        <w:spacing w:line="360" w:lineRule="auto"/>
        <w:rPr>
          <w:sz w:val="20"/>
        </w:rPr>
      </w:pPr>
      <w:r>
        <w:rPr>
          <w:b/>
          <w:sz w:val="20"/>
          <w:lang w:val="en-MY" w:eastAsia="zh-CN"/>
        </w:rPr>
        <w:t xml:space="preserve">2.3 </w:t>
      </w:r>
      <w:r>
        <w:rPr>
          <w:b/>
          <w:sz w:val="20"/>
          <w:lang w:val="en-MY" w:eastAsia="zh-CN"/>
        </w:rPr>
        <w:tab/>
      </w:r>
      <w:r>
        <w:rPr>
          <w:b/>
          <w:sz w:val="20"/>
          <w:lang w:val="en-MY" w:eastAsia="zh-CN"/>
        </w:rPr>
        <w:t>Financial Situation</w:t>
      </w:r>
      <w:r>
        <w:rPr>
          <w:sz w:val="20"/>
        </w:rPr>
        <w:t xml:space="preserve"> </w:t>
      </w:r>
    </w:p>
    <w:p w14:paraId="6B98CB51">
      <w:pPr>
        <w:keepNext/>
        <w:spacing w:line="360" w:lineRule="auto"/>
        <w:outlineLvl w:val="0"/>
        <w:rPr>
          <w:b/>
          <w:bCs/>
          <w:kern w:val="32"/>
          <w:sz w:val="20"/>
        </w:rPr>
      </w:pPr>
      <w:r>
        <w:rPr>
          <w:b/>
          <w:bCs/>
          <w:kern w:val="32"/>
          <w:sz w:val="20"/>
        </w:rPr>
        <w:t>2.3.1</w:t>
      </w:r>
      <w:r>
        <w:rPr>
          <w:b/>
          <w:bCs/>
          <w:kern w:val="32"/>
          <w:sz w:val="20"/>
        </w:rPr>
        <w:tab/>
      </w:r>
      <w:r>
        <w:rPr>
          <w:b/>
          <w:bCs/>
          <w:kern w:val="32"/>
          <w:sz w:val="20"/>
        </w:rPr>
        <w:t>Historical Financial Performance</w:t>
      </w:r>
    </w:p>
    <w:p w14:paraId="1E6A1FBD">
      <w:pPr>
        <w:keepNext/>
        <w:spacing w:line="360" w:lineRule="auto"/>
        <w:outlineLvl w:val="0"/>
        <w:rPr>
          <w:sz w:val="20"/>
        </w:rPr>
      </w:pPr>
      <w:r>
        <w:rPr>
          <w:sz w:val="20"/>
          <w:lang w:eastAsia="zh-CN"/>
        </w:rPr>
        <w:t>The bidder shall submit</w:t>
      </w:r>
      <w:r>
        <w:rPr>
          <w:sz w:val="20"/>
        </w:rPr>
        <w:t xml:space="preserve"> financial</w:t>
      </w:r>
      <w:r>
        <w:rPr>
          <w:sz w:val="20"/>
          <w:lang w:eastAsia="zh-CN"/>
        </w:rPr>
        <w:t xml:space="preserve"> report and financial statements which audited by a third party authority for</w:t>
      </w:r>
      <w:r>
        <w:rPr>
          <w:sz w:val="20"/>
        </w:rPr>
        <w:t xml:space="preserve"> the last </w:t>
      </w:r>
      <w:r>
        <w:rPr>
          <w:sz w:val="20"/>
          <w:u w:val="single"/>
          <w:lang w:eastAsia="zh-CN"/>
        </w:rPr>
        <w:t>3</w:t>
      </w:r>
      <w:r>
        <w:rPr>
          <w:sz w:val="20"/>
        </w:rPr>
        <w:t xml:space="preserve"> years </w:t>
      </w:r>
      <w:r>
        <w:rPr>
          <w:sz w:val="20"/>
          <w:lang w:eastAsia="zh-CN"/>
        </w:rPr>
        <w:t xml:space="preserve">(2021-2023) </w:t>
      </w:r>
      <w:r>
        <w:rPr>
          <w:sz w:val="20"/>
        </w:rPr>
        <w:t xml:space="preserve">to demonstrate the current soundness of the Bidder’s financial position. As a minimum, the </w:t>
      </w:r>
      <w:r>
        <w:rPr>
          <w:sz w:val="20"/>
          <w:lang w:eastAsia="zh-CN"/>
        </w:rPr>
        <w:t>b</w:t>
      </w:r>
      <w:r>
        <w:rPr>
          <w:sz w:val="20"/>
        </w:rPr>
        <w:t>idder’s net worth for</w:t>
      </w:r>
      <w:r>
        <w:rPr>
          <w:sz w:val="20"/>
          <w:lang w:eastAsia="zh-CN"/>
        </w:rPr>
        <w:t xml:space="preserve"> each year from 2021 to 2023 calculated</w:t>
      </w:r>
      <w:r>
        <w:rPr>
          <w:sz w:val="20"/>
        </w:rPr>
        <w:t xml:space="preserve"> as the difference between total assets and total liabilities </w:t>
      </w:r>
      <w:r>
        <w:rPr>
          <w:sz w:val="20"/>
          <w:lang w:eastAsia="zh-CN"/>
        </w:rPr>
        <w:t>shall</w:t>
      </w:r>
      <w:r>
        <w:rPr>
          <w:sz w:val="20"/>
        </w:rPr>
        <w:t xml:space="preserve"> be positive. </w:t>
      </w:r>
    </w:p>
    <w:p w14:paraId="6A01C6D2">
      <w:pPr>
        <w:keepNext/>
        <w:spacing w:line="360" w:lineRule="auto"/>
        <w:outlineLvl w:val="0"/>
        <w:rPr>
          <w:bCs/>
          <w:kern w:val="32"/>
          <w:sz w:val="20"/>
        </w:rPr>
      </w:pPr>
      <w:r>
        <w:rPr>
          <w:bCs/>
          <w:kern w:val="32"/>
          <w:sz w:val="20"/>
        </w:rPr>
        <w:t xml:space="preserve">Document </w:t>
      </w:r>
      <w:r>
        <w:rPr>
          <w:bCs/>
          <w:kern w:val="32"/>
          <w:sz w:val="20"/>
          <w:lang w:eastAsia="zh-CN"/>
        </w:rPr>
        <w:t>s</w:t>
      </w:r>
      <w:r>
        <w:rPr>
          <w:bCs/>
          <w:kern w:val="32"/>
          <w:sz w:val="20"/>
        </w:rPr>
        <w:t xml:space="preserve">ubmission </w:t>
      </w:r>
      <w:r>
        <w:rPr>
          <w:bCs/>
          <w:kern w:val="32"/>
          <w:sz w:val="20"/>
          <w:lang w:eastAsia="zh-CN"/>
        </w:rPr>
        <w:t>r</w:t>
      </w:r>
      <w:r>
        <w:rPr>
          <w:bCs/>
          <w:kern w:val="32"/>
          <w:sz w:val="20"/>
        </w:rPr>
        <w:t xml:space="preserve">equirements: Section 4 Form FIN-1 (Historical Financial Performance) and related </w:t>
      </w:r>
      <w:r>
        <w:rPr>
          <w:bCs/>
          <w:kern w:val="32"/>
          <w:sz w:val="20"/>
          <w:lang w:eastAsia="zh-CN"/>
        </w:rPr>
        <w:t xml:space="preserve">supporting </w:t>
      </w:r>
      <w:r>
        <w:rPr>
          <w:bCs/>
          <w:kern w:val="32"/>
          <w:sz w:val="20"/>
        </w:rPr>
        <w:t>documents</w:t>
      </w:r>
    </w:p>
    <w:p w14:paraId="61354E70">
      <w:pPr>
        <w:spacing w:line="360" w:lineRule="auto"/>
        <w:ind w:left="252" w:right="468"/>
        <w:rPr>
          <w:bCs/>
          <w:iCs/>
          <w:sz w:val="16"/>
          <w:shd w:val="solid" w:color="auto" w:fill="auto"/>
          <w:lang w:eastAsia="zh-CN"/>
        </w:rPr>
      </w:pPr>
    </w:p>
    <w:p w14:paraId="550F0AF5">
      <w:pPr>
        <w:spacing w:line="360" w:lineRule="auto"/>
        <w:ind w:left="252" w:right="468"/>
        <w:rPr>
          <w:bCs/>
          <w:iCs/>
          <w:sz w:val="16"/>
          <w:shd w:val="solid" w:color="auto" w:fill="auto"/>
          <w:lang w:eastAsia="zh-CN"/>
        </w:rPr>
      </w:pPr>
    </w:p>
    <w:p w14:paraId="3D2444E7">
      <w:pPr>
        <w:keepNext/>
        <w:spacing w:line="360" w:lineRule="auto"/>
        <w:outlineLvl w:val="0"/>
        <w:rPr>
          <w:b/>
          <w:sz w:val="20"/>
          <w:lang w:eastAsia="zh-CN"/>
        </w:rPr>
      </w:pPr>
      <w:r>
        <w:rPr>
          <w:b/>
          <w:bCs/>
          <w:kern w:val="32"/>
          <w:sz w:val="20"/>
        </w:rPr>
        <w:t>2.3.2</w:t>
      </w:r>
      <w:r>
        <w:rPr>
          <w:b/>
          <w:bCs/>
          <w:kern w:val="32"/>
          <w:sz w:val="20"/>
        </w:rPr>
        <w:tab/>
      </w:r>
      <w:r>
        <w:rPr>
          <w:b/>
          <w:bCs/>
          <w:kern w:val="32"/>
          <w:sz w:val="20"/>
        </w:rPr>
        <w:t>Size of Operation (Average Annual Turnover)</w:t>
      </w:r>
      <w:r>
        <w:rPr>
          <w:rFonts w:hint="eastAsia"/>
          <w:b/>
          <w:bCs/>
          <w:kern w:val="32"/>
          <w:sz w:val="20"/>
          <w:lang w:eastAsia="zh-CN"/>
        </w:rPr>
        <w:t xml:space="preserve"> </w:t>
      </w:r>
    </w:p>
    <w:p w14:paraId="33741AF9">
      <w:pPr>
        <w:tabs>
          <w:tab w:val="right" w:pos="7254"/>
        </w:tabs>
        <w:spacing w:line="360" w:lineRule="auto"/>
        <w:rPr>
          <w:sz w:val="20"/>
          <w:lang w:eastAsia="zh-CN"/>
        </w:rPr>
      </w:pPr>
      <w:r>
        <w:rPr>
          <w:sz w:val="20"/>
          <w:lang w:eastAsia="zh-CN"/>
        </w:rPr>
        <w:t xml:space="preserve">The average annual turnover of medical equipment sales shall not be less than EUR </w:t>
      </w:r>
      <w:r>
        <w:rPr>
          <w:rFonts w:hint="eastAsia"/>
          <w:sz w:val="20"/>
          <w:lang w:val="en-US" w:eastAsia="zh-CN"/>
        </w:rPr>
        <w:t>15</w:t>
      </w:r>
      <w:r>
        <w:rPr>
          <w:sz w:val="20"/>
          <w:lang w:eastAsia="zh-CN"/>
        </w:rPr>
        <w:t xml:space="preserve"> million or equivalent value within the last three years (2021-2023). The copies of corresponding proof materials shall be provided in the bid: (1) the </w:t>
      </w:r>
      <w:r>
        <w:rPr>
          <w:sz w:val="20"/>
        </w:rPr>
        <w:t>financial</w:t>
      </w:r>
      <w:r>
        <w:rPr>
          <w:sz w:val="20"/>
          <w:lang w:eastAsia="zh-CN"/>
        </w:rPr>
        <w:t xml:space="preserve"> report and financial statements  which audited by a third party authority for</w:t>
      </w:r>
      <w:r>
        <w:rPr>
          <w:sz w:val="20"/>
        </w:rPr>
        <w:t xml:space="preserve"> the last </w:t>
      </w:r>
      <w:r>
        <w:rPr>
          <w:sz w:val="20"/>
          <w:u w:val="single"/>
          <w:lang w:eastAsia="zh-CN"/>
        </w:rPr>
        <w:t>3</w:t>
      </w:r>
      <w:r>
        <w:rPr>
          <w:sz w:val="20"/>
        </w:rPr>
        <w:t xml:space="preserve"> years </w:t>
      </w:r>
      <w:r>
        <w:rPr>
          <w:sz w:val="20"/>
          <w:lang w:eastAsia="zh-CN"/>
        </w:rPr>
        <w:t>(2021-2023); or (2) the bidder provide the documents which have been public audited (shall be signed by the accountant or the director) or notarized by a notary office to prove that the bidder meets the annual turnover of the above mentioned average annual turnover of medical equipment sales, and the corresponding supply contract information shall be kept for reference.</w:t>
      </w:r>
    </w:p>
    <w:p w14:paraId="083BA01F">
      <w:pPr>
        <w:keepNext/>
        <w:spacing w:line="360" w:lineRule="auto"/>
        <w:jc w:val="left"/>
        <w:outlineLvl w:val="0"/>
        <w:rPr>
          <w:sz w:val="20"/>
          <w:lang w:eastAsia="zh-CN"/>
        </w:rPr>
      </w:pPr>
      <w:r>
        <w:rPr>
          <w:sz w:val="20"/>
          <w:lang w:eastAsia="zh-CN"/>
        </w:rPr>
        <w:t>Document submission requirements: Section 4 Form FIN-2 (Size of Operation (Average Annual Turnover)) and related supporting documents.</w:t>
      </w:r>
    </w:p>
    <w:p w14:paraId="727A7AAF">
      <w:pPr>
        <w:keepNext/>
        <w:spacing w:line="360" w:lineRule="auto"/>
        <w:outlineLvl w:val="0"/>
        <w:rPr>
          <w:b/>
          <w:bCs/>
          <w:kern w:val="32"/>
          <w:sz w:val="16"/>
          <w:szCs w:val="32"/>
        </w:rPr>
      </w:pPr>
    </w:p>
    <w:p w14:paraId="5FC178F8">
      <w:pPr>
        <w:keepNext/>
        <w:spacing w:line="360" w:lineRule="auto"/>
        <w:outlineLvl w:val="0"/>
        <w:rPr>
          <w:bCs/>
          <w:sz w:val="20"/>
        </w:rPr>
      </w:pPr>
      <w:r>
        <w:rPr>
          <w:b/>
          <w:bCs/>
          <w:kern w:val="32"/>
          <w:sz w:val="20"/>
        </w:rPr>
        <w:t>2.3.3</w:t>
      </w:r>
      <w:r>
        <w:rPr>
          <w:b/>
          <w:bCs/>
          <w:kern w:val="32"/>
          <w:sz w:val="20"/>
        </w:rPr>
        <w:tab/>
      </w:r>
      <w:r>
        <w:rPr>
          <w:b/>
          <w:bCs/>
          <w:kern w:val="32"/>
          <w:sz w:val="20"/>
        </w:rPr>
        <w:t>Cash Flow Capacity</w:t>
      </w:r>
    </w:p>
    <w:p w14:paraId="1C4AA36E">
      <w:pPr>
        <w:keepNext/>
        <w:spacing w:line="360" w:lineRule="auto"/>
        <w:outlineLvl w:val="0"/>
        <w:rPr>
          <w:b/>
          <w:i/>
          <w:sz w:val="20"/>
          <w:vertAlign w:val="superscript"/>
        </w:rPr>
      </w:pPr>
      <w:r>
        <w:rPr>
          <w:sz w:val="20"/>
        </w:rPr>
        <w:t>Availability of or access to liquid assets, lines of credit, and other finances sufficient to meet cash flow requirement which is</w:t>
      </w:r>
      <w:r>
        <w:rPr>
          <w:sz w:val="20"/>
          <w:szCs w:val="18"/>
        </w:rPr>
        <w:t xml:space="preserve"> EUR </w:t>
      </w:r>
      <w:r>
        <w:rPr>
          <w:sz w:val="20"/>
          <w:lang w:eastAsia="zh-CN"/>
        </w:rPr>
        <w:t xml:space="preserve">10 </w:t>
      </w:r>
      <w:r>
        <w:rPr>
          <w:sz w:val="20"/>
          <w:szCs w:val="18"/>
        </w:rPr>
        <w:t xml:space="preserve">million or equivalent value. </w:t>
      </w:r>
    </w:p>
    <w:p w14:paraId="766C648F">
      <w:pPr>
        <w:spacing w:line="360" w:lineRule="auto"/>
        <w:ind w:right="72"/>
        <w:jc w:val="left"/>
        <w:rPr>
          <w:b/>
          <w:bCs/>
          <w:kern w:val="32"/>
          <w:sz w:val="20"/>
          <w:lang w:eastAsia="zh-CN"/>
        </w:rPr>
      </w:pPr>
      <w:r>
        <w:rPr>
          <w:bCs/>
          <w:sz w:val="20"/>
        </w:rPr>
        <w:t>Document Submission Requirements: Section 4</w:t>
      </w:r>
      <w:r>
        <w:rPr>
          <w:bCs/>
          <w:sz w:val="20"/>
          <w:lang w:eastAsia="zh-CN"/>
        </w:rPr>
        <w:t xml:space="preserve"> </w:t>
      </w:r>
      <w:r>
        <w:rPr>
          <w:bCs/>
          <w:sz w:val="20"/>
        </w:rPr>
        <w:t>Form FIN-3 (Cash Flow Capability).</w:t>
      </w:r>
    </w:p>
    <w:p w14:paraId="375ACB98">
      <w:pPr>
        <w:spacing w:line="360" w:lineRule="auto"/>
        <w:ind w:right="72"/>
        <w:jc w:val="left"/>
        <w:rPr>
          <w:b/>
          <w:bCs/>
          <w:kern w:val="32"/>
          <w:sz w:val="20"/>
          <w:lang w:eastAsia="zh-CN"/>
        </w:rPr>
      </w:pPr>
    </w:p>
    <w:p w14:paraId="3141539F">
      <w:pPr>
        <w:spacing w:line="360" w:lineRule="auto"/>
        <w:ind w:right="72"/>
        <w:rPr>
          <w:sz w:val="20"/>
          <w:lang w:eastAsia="zh-CN"/>
        </w:rPr>
      </w:pPr>
      <w:r>
        <w:rPr>
          <w:b/>
          <w:bCs/>
          <w:kern w:val="32"/>
          <w:sz w:val="20"/>
        </w:rPr>
        <w:t>2.4 Others</w:t>
      </w:r>
    </w:p>
    <w:p w14:paraId="3231C697">
      <w:pPr>
        <w:spacing w:line="360" w:lineRule="auto"/>
        <w:ind w:right="72"/>
        <w:rPr>
          <w:sz w:val="20"/>
          <w:lang w:eastAsia="zh-CN"/>
        </w:rPr>
      </w:pPr>
      <w:r>
        <w:rPr>
          <w:sz w:val="20"/>
          <w:lang w:eastAsia="zh-CN"/>
        </w:rPr>
        <w:t>2.4.1 The bidder shall provide copies of valid quality management system certificate with bidder’s official seal stamped of ISO9000 series certification or similar certificate of quality management system of equivalent level;</w:t>
      </w:r>
    </w:p>
    <w:p w14:paraId="3A9C61CD">
      <w:pPr>
        <w:spacing w:line="360" w:lineRule="auto"/>
        <w:ind w:right="72"/>
        <w:rPr>
          <w:b/>
          <w:bCs/>
          <w:kern w:val="32"/>
          <w:sz w:val="16"/>
          <w:szCs w:val="28"/>
        </w:rPr>
      </w:pPr>
    </w:p>
    <w:p w14:paraId="1C60D23D">
      <w:pPr>
        <w:spacing w:line="360" w:lineRule="auto"/>
        <w:ind w:right="72"/>
        <w:rPr>
          <w:sz w:val="20"/>
          <w:lang w:eastAsia="zh-CN"/>
        </w:rPr>
      </w:pPr>
      <w:r>
        <w:rPr>
          <w:sz w:val="20"/>
          <w:lang w:eastAsia="zh-CN"/>
        </w:rPr>
        <w:t xml:space="preserve">2.4.2 </w:t>
      </w:r>
      <w:r>
        <w:rPr>
          <w:sz w:val="21"/>
          <w:szCs w:val="21"/>
          <w:lang w:eastAsia="zh-CN"/>
        </w:rPr>
        <w:t>The domestic bidder shall provide the copy of valid “Medical Instrument Business Enterprise Permit” with official seal stamped in its bid.</w:t>
      </w:r>
    </w:p>
    <w:p w14:paraId="496E1CB1">
      <w:pPr>
        <w:spacing w:line="360" w:lineRule="auto"/>
        <w:ind w:right="72"/>
        <w:rPr>
          <w:sz w:val="20"/>
          <w:lang w:eastAsia="zh-CN"/>
        </w:rPr>
      </w:pPr>
    </w:p>
    <w:p w14:paraId="204F846D">
      <w:pPr>
        <w:spacing w:line="360" w:lineRule="auto"/>
        <w:ind w:right="72"/>
        <w:rPr>
          <w:b/>
          <w:bCs/>
          <w:kern w:val="32"/>
          <w:sz w:val="16"/>
          <w:szCs w:val="28"/>
        </w:rPr>
      </w:pPr>
      <w:r>
        <w:rPr>
          <w:sz w:val="20"/>
          <w:lang w:eastAsia="zh-CN"/>
        </w:rPr>
        <w:t>2.4.3 The bidder shall submit the original of power of attorney and the copy of ID of the authorized person (authorized person’s original ID will be checked before bid opening). The power of attorney shall be signed by legal person and stamped with the bidder’s seal, otherwise, it will be regarded as invalid;</w:t>
      </w:r>
    </w:p>
    <w:p w14:paraId="25980013">
      <w:pPr>
        <w:spacing w:line="360" w:lineRule="auto"/>
        <w:ind w:right="72"/>
        <w:rPr>
          <w:sz w:val="20"/>
          <w:lang w:eastAsia="zh-CN"/>
        </w:rPr>
      </w:pPr>
    </w:p>
    <w:p w14:paraId="53478E66">
      <w:pPr>
        <w:spacing w:line="360" w:lineRule="auto"/>
        <w:ind w:right="72"/>
        <w:rPr>
          <w:sz w:val="20"/>
          <w:lang w:eastAsia="zh-CN"/>
        </w:rPr>
      </w:pPr>
      <w:r>
        <w:rPr>
          <w:sz w:val="20"/>
          <w:lang w:eastAsia="zh-CN"/>
        </w:rPr>
        <w:t>2.4.4 In the case of a bidder offering to supply the goods of the contract which the bidder does not manufacturer or produce, according to the requirements in Section 6, the bidder has to be duly authorized by the goods’manufacturer or the agent (in the case of the letter of authority is provided by the agent, the letter of authority from the original manufacturer to the agent shall be provided at the same time) to supply the goods in this bidding project, the letter of authority shall be original and along with Manufacturer or Agent Qualification Statement (please see Section 4 for the format of Manufacturer Qualification Statement, Agent Qualification Statement format can refer to the Manufacturer Qualification Statement format ) and other documentary evidence required by the bidding documents.</w:t>
      </w:r>
    </w:p>
    <w:p w14:paraId="7B2ED36A">
      <w:pPr>
        <w:spacing w:line="360" w:lineRule="auto"/>
        <w:ind w:right="72"/>
        <w:rPr>
          <w:sz w:val="20"/>
          <w:lang w:eastAsia="zh-CN"/>
        </w:rPr>
      </w:pPr>
    </w:p>
    <w:p w14:paraId="4E718D15">
      <w:pPr>
        <w:spacing w:line="360" w:lineRule="auto"/>
        <w:ind w:right="72"/>
        <w:rPr>
          <w:sz w:val="20"/>
          <w:lang w:eastAsia="zh-CN"/>
        </w:rPr>
      </w:pPr>
      <w:r>
        <w:rPr>
          <w:sz w:val="20"/>
          <w:lang w:eastAsia="zh-CN"/>
        </w:rPr>
        <w:t xml:space="preserve">2.4.5 The bidder shall provide original certificate issued by their bank of deposit within 3 months prior to the bid opening date certifying their financial status and reputable credit status; </w:t>
      </w:r>
    </w:p>
    <w:p w14:paraId="753E36F7">
      <w:pPr>
        <w:spacing w:line="360" w:lineRule="auto"/>
        <w:ind w:right="72"/>
        <w:rPr>
          <w:sz w:val="20"/>
          <w:lang w:eastAsia="zh-CN"/>
        </w:rPr>
      </w:pPr>
    </w:p>
    <w:p w14:paraId="6ECFA7D9">
      <w:pPr>
        <w:spacing w:line="360" w:lineRule="auto"/>
        <w:ind w:right="72"/>
        <w:rPr>
          <w:sz w:val="20"/>
          <w:lang w:eastAsia="zh-CN"/>
        </w:rPr>
      </w:pPr>
      <w:r>
        <w:rPr>
          <w:sz w:val="20"/>
          <w:lang w:eastAsia="zh-CN"/>
        </w:rPr>
        <w:t>2.4.6 The bidder’s bank of deposit shall issue the Line of Credit only for this package of no less than EUR 3 million or equivalent value in RMB. The date of the issuance of the line of credit for this package project shall not earlier than 3 months before the bid opening date. The original Line of Credit certificate shall be provided in the bid as well. If it is not the original, but a color scanned copy, it will not be accepted during the bid evaluation.</w:t>
      </w:r>
    </w:p>
    <w:p w14:paraId="257991B5">
      <w:pPr>
        <w:tabs>
          <w:tab w:val="right" w:leader="dot" w:pos="9360"/>
        </w:tabs>
        <w:spacing w:line="360" w:lineRule="auto"/>
        <w:outlineLvl w:val="0"/>
        <w:rPr>
          <w:sz w:val="20"/>
          <w:lang w:eastAsia="zh-CN"/>
        </w:rPr>
      </w:pPr>
      <w:r>
        <w:rPr>
          <w:sz w:val="20"/>
          <w:lang w:eastAsia="zh-CN"/>
        </w:rPr>
        <w:t xml:space="preserve">2.4.7 Bidder shall not only commit to abide by Law of the People’s Republic of China on Tenders and Bids, decree No. 1 2014 issued by Ministry of Commerce, and other laws and regulations on foreign government loan; but also obey the state laws, administrative regulations, </w:t>
      </w:r>
      <w:r>
        <w:rPr>
          <w:rFonts w:hint="eastAsia"/>
          <w:sz w:val="20"/>
          <w:lang w:eastAsia="zh-CN"/>
        </w:rPr>
        <w:t>a</w:t>
      </w:r>
      <w:r>
        <w:rPr>
          <w:sz w:val="20"/>
          <w:lang w:eastAsia="zh-CN"/>
        </w:rPr>
        <w:t>nd keep good reputation and professional ethics</w:t>
      </w:r>
      <w:r>
        <w:rPr>
          <w:rFonts w:hint="eastAsia"/>
          <w:sz w:val="20"/>
          <w:lang w:eastAsia="zh-CN"/>
        </w:rPr>
        <w:t>.</w:t>
      </w:r>
    </w:p>
    <w:p w14:paraId="43D790F0">
      <w:pPr>
        <w:spacing w:line="360" w:lineRule="auto"/>
        <w:ind w:right="72"/>
        <w:rPr>
          <w:sz w:val="20"/>
          <w:lang w:eastAsia="zh-CN"/>
        </w:rPr>
      </w:pPr>
    </w:p>
    <w:p w14:paraId="3FE02C44">
      <w:pPr>
        <w:keepNext/>
        <w:spacing w:line="360" w:lineRule="auto"/>
        <w:outlineLvl w:val="0"/>
        <w:rPr>
          <w:sz w:val="20"/>
          <w:lang w:eastAsia="zh-CN"/>
        </w:rPr>
      </w:pPr>
      <w:r>
        <w:rPr>
          <w:sz w:val="20"/>
          <w:lang w:eastAsia="zh-CN"/>
        </w:rPr>
        <w:t>2.4.8 Bidder shall guarantee that products and services provided have all needed license of export (Statements provided by Bidder shall be stamped with company seal);</w:t>
      </w:r>
    </w:p>
    <w:p w14:paraId="160F07D2">
      <w:pPr>
        <w:keepNext/>
        <w:spacing w:line="360" w:lineRule="auto"/>
        <w:outlineLvl w:val="0"/>
        <w:rPr>
          <w:sz w:val="20"/>
          <w:lang w:eastAsia="zh-CN"/>
        </w:rPr>
      </w:pPr>
    </w:p>
    <w:p w14:paraId="59ABB1F8">
      <w:pPr>
        <w:keepNext/>
        <w:spacing w:line="360" w:lineRule="auto"/>
        <w:outlineLvl w:val="0"/>
        <w:rPr>
          <w:sz w:val="20"/>
          <w:lang w:eastAsia="zh-CN"/>
        </w:rPr>
      </w:pPr>
      <w:r>
        <w:rPr>
          <w:sz w:val="20"/>
          <w:lang w:eastAsia="zh-CN"/>
        </w:rPr>
        <w:t xml:space="preserve">2.4.9 Bidder </w:t>
      </w:r>
      <w:r>
        <w:rPr>
          <w:sz w:val="20"/>
        </w:rPr>
        <w:t>shall</w:t>
      </w:r>
      <w:r>
        <w:rPr>
          <w:sz w:val="20"/>
          <w:lang w:eastAsia="zh-CN"/>
        </w:rPr>
        <w:t xml:space="preserve"> provide after-sales service </w:t>
      </w:r>
      <w:r>
        <w:rPr>
          <w:sz w:val="20"/>
        </w:rPr>
        <w:t>of</w:t>
      </w:r>
      <w:r>
        <w:rPr>
          <w:sz w:val="20"/>
          <w:lang w:eastAsia="zh-CN"/>
        </w:rPr>
        <w:t xml:space="preserve"> the project</w:t>
      </w:r>
      <w:r>
        <w:rPr>
          <w:sz w:val="20"/>
        </w:rPr>
        <w:t>. F</w:t>
      </w:r>
      <w:r>
        <w:rPr>
          <w:sz w:val="20"/>
          <w:lang w:eastAsia="zh-CN"/>
        </w:rPr>
        <w:t xml:space="preserve">oreign bidder </w:t>
      </w:r>
      <w:r>
        <w:rPr>
          <w:rFonts w:hint="eastAsia"/>
          <w:sz w:val="20"/>
          <w:lang w:eastAsia="zh-CN"/>
        </w:rPr>
        <w:t>shall provide evidence</w:t>
      </w:r>
      <w:r>
        <w:rPr>
          <w:sz w:val="20"/>
          <w:lang w:eastAsia="zh-CN"/>
        </w:rPr>
        <w:t xml:space="preserve"> that it will be represented by an Agent in China.;</w:t>
      </w:r>
    </w:p>
    <w:p w14:paraId="2AD75727">
      <w:pPr>
        <w:keepNext/>
        <w:spacing w:line="360" w:lineRule="auto"/>
        <w:outlineLvl w:val="0"/>
        <w:rPr>
          <w:sz w:val="20"/>
          <w:lang w:eastAsia="zh-CN"/>
        </w:rPr>
      </w:pPr>
    </w:p>
    <w:p w14:paraId="223747C4">
      <w:pPr>
        <w:keepNext/>
        <w:spacing w:line="360" w:lineRule="auto"/>
        <w:outlineLvl w:val="0"/>
        <w:rPr>
          <w:sz w:val="20"/>
          <w:lang w:eastAsia="zh-CN"/>
        </w:rPr>
      </w:pPr>
      <w:r>
        <w:rPr>
          <w:sz w:val="20"/>
          <w:lang w:eastAsia="zh-CN"/>
        </w:rPr>
        <w:t>2.4.10 In recent years (20</w:t>
      </w:r>
      <w:r>
        <w:rPr>
          <w:rFonts w:hint="eastAsia"/>
          <w:sz w:val="20"/>
          <w:lang w:val="en-US" w:eastAsia="zh-CN"/>
        </w:rPr>
        <w:t>0</w:t>
      </w:r>
      <w:r>
        <w:rPr>
          <w:sz w:val="20"/>
          <w:lang w:eastAsia="zh-CN"/>
        </w:rPr>
        <w:t xml:space="preserve">9 to now), the bidder shall not have any illegal or irregular behavior/record like receiving criticism in written form or be sanctioned by the relevant government or competent authorities during the bidding activity in projects financed by foreign government or international financial institution loan, meanwhile, the bidder shall not have </w:t>
      </w:r>
      <w:r>
        <w:rPr>
          <w:rFonts w:hint="eastAsia"/>
          <w:sz w:val="20"/>
          <w:lang w:eastAsia="zh-CN"/>
        </w:rPr>
        <w:t>any cases of termination of contract</w:t>
      </w:r>
      <w:r>
        <w:rPr>
          <w:sz w:val="20"/>
          <w:lang w:eastAsia="zh-CN"/>
        </w:rPr>
        <w:t xml:space="preserve"> for reasons attributable to the bidder. If the bidder fails to disclose the circumstances above, the bid will be rejected (please see Section 4 for the format of statement);</w:t>
      </w:r>
    </w:p>
    <w:p w14:paraId="3DC8E074">
      <w:pPr>
        <w:keepNext/>
        <w:spacing w:line="360" w:lineRule="auto"/>
        <w:outlineLvl w:val="0"/>
        <w:rPr>
          <w:sz w:val="20"/>
          <w:lang w:eastAsia="zh-CN"/>
        </w:rPr>
      </w:pPr>
    </w:p>
    <w:p w14:paraId="5E578919">
      <w:pPr>
        <w:keepNext/>
        <w:spacing w:line="360" w:lineRule="auto"/>
        <w:outlineLvl w:val="0"/>
        <w:rPr>
          <w:sz w:val="20"/>
          <w:lang w:eastAsia="zh-CN"/>
        </w:rPr>
      </w:pPr>
      <w:r>
        <w:rPr>
          <w:sz w:val="20"/>
          <w:lang w:eastAsia="zh-CN"/>
        </w:rPr>
        <w:t>2.4.11 All parties involved in a procurement process of financial cooperation financing project must ensure a fair and transparent competition and comply with applicable labour laws and the Core Labour Standards of the International Labour Organization (ILO). The Bidder is required to submit a Declaration of Undertaking (Please see Section 4 for the format). The Declaration of Undertaking must be signed in a legally binding manner by duly authorized representatives of the bidder and stamped by company seal. Failure to submit this declaration and non-compliance with the requirements and the format will lead to exclusion from the tender. In addition, the bidder shall take full responsibility for the authenticity of declaration content, the bid will be rejected if any non-compliance with the facts found and determined by the bid evaluation committee during the evaluation process.</w:t>
      </w:r>
    </w:p>
    <w:bookmarkEnd w:id="4"/>
    <w:p w14:paraId="5F335E72">
      <w:pPr>
        <w:keepNext/>
        <w:spacing w:line="360" w:lineRule="auto"/>
        <w:outlineLvl w:val="0"/>
        <w:rPr>
          <w:b/>
          <w:sz w:val="20"/>
          <w:lang w:eastAsia="zh-CN"/>
        </w:rPr>
      </w:pPr>
    </w:p>
    <w:p w14:paraId="50BB1780">
      <w:pPr>
        <w:tabs>
          <w:tab w:val="right" w:leader="dot" w:pos="9360"/>
        </w:tabs>
        <w:spacing w:line="360" w:lineRule="auto"/>
        <w:outlineLvl w:val="0"/>
        <w:rPr>
          <w:b/>
          <w:sz w:val="40"/>
          <w:szCs w:val="40"/>
        </w:rPr>
      </w:pPr>
      <w:r>
        <w:rPr>
          <w:b/>
          <w:sz w:val="40"/>
          <w:szCs w:val="40"/>
        </w:rPr>
        <w:t>3. Bid Evaluation Method</w:t>
      </w:r>
    </w:p>
    <w:p w14:paraId="34816C68">
      <w:pPr>
        <w:spacing w:line="360" w:lineRule="auto"/>
        <w:rPr>
          <w:lang w:eastAsia="zh-CN"/>
        </w:rPr>
      </w:pPr>
    </w:p>
    <w:p w14:paraId="6428A2A1">
      <w:pPr>
        <w:keepNext/>
        <w:tabs>
          <w:tab w:val="left" w:pos="-1440"/>
          <w:tab w:val="left" w:pos="-720"/>
          <w:tab w:val="left" w:pos="1"/>
          <w:tab w:val="left" w:pos="284"/>
          <w:tab w:val="left" w:pos="42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22"/>
          <w:tab w:val="left" w:pos="20118"/>
          <w:tab w:val="left" w:pos="20916"/>
        </w:tabs>
        <w:spacing w:after="120" w:afterLines="50" w:line="360" w:lineRule="auto"/>
        <w:outlineLvl w:val="0"/>
        <w:rPr>
          <w:b/>
          <w:bCs/>
          <w:szCs w:val="24"/>
        </w:rPr>
      </w:pPr>
      <w:r>
        <w:rPr>
          <w:b/>
          <w:bCs/>
          <w:szCs w:val="24"/>
        </w:rPr>
        <w:t xml:space="preserve">Preliminary Examination, Evaluation and </w:t>
      </w:r>
      <w:r>
        <w:rPr>
          <w:b/>
          <w:bCs/>
          <w:szCs w:val="24"/>
          <w:lang w:val="en-GB"/>
        </w:rPr>
        <w:t>Comparison of Bids</w:t>
      </w:r>
    </w:p>
    <w:p w14:paraId="05F3D3F5">
      <w:pPr>
        <w:widowControl w:val="0"/>
        <w:numPr>
          <w:ilvl w:val="1"/>
          <w:numId w:val="20"/>
        </w:numPr>
        <w:adjustRightInd w:val="0"/>
        <w:snapToGrid w:val="0"/>
        <w:spacing w:after="240" w:afterLines="100" w:line="360" w:lineRule="auto"/>
        <w:ind w:left="354" w:hanging="354" w:hangingChars="177"/>
        <w:rPr>
          <w:sz w:val="20"/>
        </w:rPr>
      </w:pPr>
      <w:r>
        <w:rPr>
          <w:sz w:val="20"/>
        </w:rPr>
        <w:t>The Bid Evaluation Committee will firstly examine the bids to determine whether they are complete, whether the bids are generally in order, whether the bid security have been furnished, whether the documents have been properly signed, and whether the bidder is eligible according to the requirements in ITB (Instruction to Bidders) clause as in Section 1 and Section 2 before the detailed examination. And determine the substantial responsiveness of each bid to the bidding documents. For purposes of these Clauses, a substantially responsive bid is one which conforms to the terms and conditions of the bidding documents without material deviations. Deviation from, or objections or reservations to critical provisions marked with “*” will be deemed to be a material deviation. The Bid Evaluation Committee’s determination of a bid’s responsiveness is to be based on the true and correct content of the bid itself without recourse to extrinsic evidence, unless the bid contains untrue and incorrect contents.</w:t>
      </w:r>
    </w:p>
    <w:p w14:paraId="76170CD5">
      <w:pPr>
        <w:widowControl w:val="0"/>
        <w:numPr>
          <w:ilvl w:val="1"/>
          <w:numId w:val="20"/>
        </w:numPr>
        <w:adjustRightInd w:val="0"/>
        <w:snapToGrid w:val="0"/>
        <w:spacing w:after="240" w:afterLines="100" w:line="360" w:lineRule="auto"/>
        <w:ind w:left="355" w:hanging="355" w:hangingChars="177"/>
        <w:rPr>
          <w:b/>
          <w:bCs/>
          <w:sz w:val="20"/>
        </w:rPr>
      </w:pPr>
      <w:r>
        <w:rPr>
          <w:b/>
          <w:bCs/>
          <w:sz w:val="20"/>
        </w:rPr>
        <w:t>The bid will be rejected as non-responsive, if it is found having any of the following during commercial evaluation:</w:t>
      </w:r>
    </w:p>
    <w:p w14:paraId="6D54355F">
      <w:pPr>
        <w:widowControl w:val="0"/>
        <w:adjustRightInd w:val="0"/>
        <w:snapToGrid w:val="0"/>
        <w:spacing w:after="120" w:afterLines="50" w:line="360" w:lineRule="auto"/>
        <w:ind w:left="289"/>
        <w:rPr>
          <w:sz w:val="20"/>
        </w:rPr>
      </w:pPr>
      <w:r>
        <w:rPr>
          <w:sz w:val="20"/>
        </w:rPr>
        <w:t>(1)The bid is not accompanied with a bid security, or, in the case the submitted bid security is of fewer amount than required, or of shorter validity than required, or not conforming to the requirements of Bidding Documents in its form and issuing bank;</w:t>
      </w:r>
    </w:p>
    <w:p w14:paraId="5290703A">
      <w:pPr>
        <w:widowControl w:val="0"/>
        <w:adjustRightInd w:val="0"/>
        <w:snapToGrid w:val="0"/>
        <w:spacing w:after="120" w:afterLines="50" w:line="360" w:lineRule="auto"/>
        <w:ind w:left="289"/>
        <w:rPr>
          <w:sz w:val="20"/>
        </w:rPr>
      </w:pPr>
      <w:r>
        <w:rPr>
          <w:sz w:val="20"/>
        </w:rPr>
        <w:t>(2)The bid is not signed page by page;</w:t>
      </w:r>
    </w:p>
    <w:p w14:paraId="0A2E3E82">
      <w:pPr>
        <w:widowControl w:val="0"/>
        <w:adjustRightInd w:val="0"/>
        <w:snapToGrid w:val="0"/>
        <w:spacing w:after="120" w:afterLines="50" w:line="360" w:lineRule="auto"/>
        <w:ind w:left="289"/>
        <w:rPr>
          <w:sz w:val="20"/>
        </w:rPr>
      </w:pPr>
      <w:r>
        <w:rPr>
          <w:sz w:val="20"/>
        </w:rPr>
        <w:t>(3)The Bidder and the Manufacturer have Conflict of interest with the End-user and Tendering Agent;</w:t>
      </w:r>
    </w:p>
    <w:p w14:paraId="2B20C81C">
      <w:pPr>
        <w:widowControl w:val="0"/>
        <w:adjustRightInd w:val="0"/>
        <w:snapToGrid w:val="0"/>
        <w:spacing w:after="120" w:afterLines="50" w:line="360" w:lineRule="auto"/>
        <w:ind w:left="289"/>
        <w:rPr>
          <w:sz w:val="20"/>
        </w:rPr>
      </w:pPr>
      <w:r>
        <w:rPr>
          <w:sz w:val="20"/>
        </w:rPr>
        <w:t>(4)The Bid Form or Qualification Documents are not submitted or not in compliance with the requirements of bidding document;</w:t>
      </w:r>
    </w:p>
    <w:p w14:paraId="23A9AD92">
      <w:pPr>
        <w:widowControl w:val="0"/>
        <w:adjustRightInd w:val="0"/>
        <w:snapToGrid w:val="0"/>
        <w:spacing w:after="120" w:afterLines="50" w:line="360" w:lineRule="auto"/>
        <w:ind w:left="289"/>
        <w:rPr>
          <w:sz w:val="20"/>
        </w:rPr>
      </w:pPr>
      <w:r>
        <w:rPr>
          <w:sz w:val="20"/>
        </w:rPr>
        <w:t>(5)The bid has not been signed by the Bidder’s Legal Person, or by the person or persons with a Power of Attorney issued by the said Legal Person;</w:t>
      </w:r>
    </w:p>
    <w:p w14:paraId="3F7473E2">
      <w:pPr>
        <w:widowControl w:val="0"/>
        <w:adjustRightInd w:val="0"/>
        <w:snapToGrid w:val="0"/>
        <w:spacing w:after="120" w:afterLines="50" w:line="360" w:lineRule="auto"/>
        <w:ind w:left="289"/>
        <w:rPr>
          <w:sz w:val="20"/>
        </w:rPr>
      </w:pPr>
      <w:r>
        <w:rPr>
          <w:sz w:val="20"/>
        </w:rPr>
        <w:t>(6)The experience of the Bidder does not meet the requirements in the Bidding Documents;</w:t>
      </w:r>
    </w:p>
    <w:p w14:paraId="718E87A1">
      <w:pPr>
        <w:widowControl w:val="0"/>
        <w:adjustRightInd w:val="0"/>
        <w:snapToGrid w:val="0"/>
        <w:spacing w:after="120" w:afterLines="50" w:line="360" w:lineRule="auto"/>
        <w:ind w:left="289"/>
        <w:rPr>
          <w:sz w:val="20"/>
        </w:rPr>
      </w:pPr>
      <w:r>
        <w:rPr>
          <w:sz w:val="20"/>
        </w:rPr>
        <w:t>(7)The bid validity offered by the Bidder is shorter than that stipulated in the Bidding Documents;</w:t>
      </w:r>
    </w:p>
    <w:p w14:paraId="03F6263A">
      <w:pPr>
        <w:widowControl w:val="0"/>
        <w:adjustRightInd w:val="0"/>
        <w:snapToGrid w:val="0"/>
        <w:spacing w:after="120" w:afterLines="50" w:line="360" w:lineRule="auto"/>
        <w:ind w:left="289"/>
        <w:rPr>
          <w:sz w:val="20"/>
        </w:rPr>
      </w:pPr>
      <w:r>
        <w:rPr>
          <w:sz w:val="20"/>
        </w:rPr>
        <w:t>(8)The bid does not meet any requirement of clause marked with “*” in the commercial part of the bidding documents</w:t>
      </w:r>
      <w:r>
        <w:rPr>
          <w:sz w:val="20"/>
          <w:lang w:eastAsia="zh-CN"/>
        </w:rPr>
        <w:t xml:space="preserve">, </w:t>
      </w:r>
      <w:r>
        <w:rPr>
          <w:sz w:val="20"/>
        </w:rPr>
        <w:t>and</w:t>
      </w:r>
    </w:p>
    <w:p w14:paraId="15252091">
      <w:pPr>
        <w:widowControl w:val="0"/>
        <w:numPr>
          <w:ilvl w:val="1"/>
          <w:numId w:val="20"/>
        </w:numPr>
        <w:adjustRightInd w:val="0"/>
        <w:snapToGrid w:val="0"/>
        <w:spacing w:after="240" w:afterLines="100" w:line="360" w:lineRule="auto"/>
        <w:ind w:left="355" w:hanging="355" w:hangingChars="177"/>
        <w:rPr>
          <w:b/>
          <w:bCs/>
          <w:sz w:val="20"/>
        </w:rPr>
      </w:pPr>
      <w:r>
        <w:rPr>
          <w:b/>
          <w:bCs/>
          <w:sz w:val="20"/>
        </w:rPr>
        <w:t>The bid will be rejected as non-responsive, if it is found having any of the following during technical evaluation</w:t>
      </w:r>
      <w:r>
        <w:rPr>
          <w:b/>
          <w:bCs/>
          <w:sz w:val="20"/>
          <w:lang w:eastAsia="zh-CN"/>
        </w:rPr>
        <w:t>:</w:t>
      </w:r>
    </w:p>
    <w:p w14:paraId="4C5F1592">
      <w:pPr>
        <w:widowControl w:val="0"/>
        <w:adjustRightInd w:val="0"/>
        <w:snapToGrid w:val="0"/>
        <w:spacing w:after="120" w:afterLines="50" w:line="360" w:lineRule="auto"/>
        <w:ind w:left="398" w:leftChars="166"/>
        <w:rPr>
          <w:sz w:val="20"/>
          <w:lang w:eastAsia="zh-CN"/>
        </w:rPr>
      </w:pPr>
      <w:r>
        <w:rPr>
          <w:sz w:val="20"/>
          <w:lang w:eastAsia="zh-CN"/>
        </w:rPr>
        <w:t>(1)The bid does not meet any main specifications with the mark of asterisk (*) in the Technical Specifications of the bidding document, or the main specifications with the mark of asterisk (*) are not accompanied by the supporting technical information (the supporting technical information shall be the printed materials published by the manufacturer or the original technical description with the official seal of the manufacturer (or its subsidiaries in China) or the test report issued by the testing institution; If the information is inconsistent, the test report issued by the testing institution shall prevail);</w:t>
      </w:r>
    </w:p>
    <w:p w14:paraId="76CB5309">
      <w:pPr>
        <w:widowControl w:val="0"/>
        <w:adjustRightInd w:val="0"/>
        <w:snapToGrid w:val="0"/>
        <w:spacing w:after="120" w:afterLines="50" w:line="360" w:lineRule="auto"/>
        <w:ind w:firstLine="400" w:firstLineChars="200"/>
        <w:rPr>
          <w:sz w:val="20"/>
          <w:lang w:eastAsia="zh-CN"/>
        </w:rPr>
      </w:pPr>
      <w:r>
        <w:rPr>
          <w:sz w:val="20"/>
          <w:lang w:eastAsia="zh-CN"/>
        </w:rPr>
        <w:t>(2)The Bidder fails to secure a technical weighted score of 45 and above.</w:t>
      </w:r>
    </w:p>
    <w:p w14:paraId="713D67AB">
      <w:pPr>
        <w:widowControl w:val="0"/>
        <w:adjustRightInd w:val="0"/>
        <w:snapToGrid w:val="0"/>
        <w:spacing w:after="120" w:afterLines="50" w:line="360" w:lineRule="auto"/>
        <w:ind w:left="398" w:leftChars="166"/>
        <w:rPr>
          <w:sz w:val="20"/>
          <w:lang w:eastAsia="zh-CN"/>
        </w:rPr>
      </w:pPr>
      <w:r>
        <w:rPr>
          <w:sz w:val="20"/>
          <w:lang w:eastAsia="zh-CN"/>
        </w:rPr>
        <w:t>(3)The Bidder fails to provide the valid Registration Certificate of Medical Device of the People's Republic of China for any product (if applicable). The requirements for the Registration Certificate of Medical Device of the People's Republic of China have been specified in Section 6.</w:t>
      </w:r>
    </w:p>
    <w:p w14:paraId="5BBEFE6F">
      <w:pPr>
        <w:widowControl w:val="0"/>
        <w:adjustRightInd w:val="0"/>
        <w:snapToGrid w:val="0"/>
        <w:spacing w:after="120" w:afterLines="50" w:line="360" w:lineRule="auto"/>
        <w:ind w:left="426"/>
        <w:rPr>
          <w:sz w:val="20"/>
          <w:lang w:eastAsia="zh-CN"/>
        </w:rPr>
      </w:pPr>
      <w:r>
        <w:rPr>
          <w:sz w:val="20"/>
          <w:lang w:eastAsia="zh-CN"/>
        </w:rPr>
        <w:t xml:space="preserve">(4)For the equipment in Weight Group 1 and Weight Group 2, if there is </w:t>
      </w:r>
      <w:r>
        <w:rPr>
          <w:rFonts w:hint="eastAsia"/>
          <w:sz w:val="20"/>
          <w:lang w:eastAsia="zh-CN"/>
        </w:rPr>
        <w:t>1</w:t>
      </w:r>
      <w:r>
        <w:rPr>
          <w:sz w:val="20"/>
          <w:lang w:eastAsia="zh-CN"/>
        </w:rPr>
        <w:t xml:space="preserve"> or more items (NOT cumulative quantity of items) being rated by the bid evaluation committee as showing “non-compliance”, or there is 2 or more items (NOT cumulative quantity of items) being rated by the bid evaluation committee as showing “Major Deviation”, the entire package shall be considered technically disqualified. </w:t>
      </w:r>
    </w:p>
    <w:p w14:paraId="2D2D189B">
      <w:pPr>
        <w:widowControl w:val="0"/>
        <w:adjustRightInd w:val="0"/>
        <w:snapToGrid w:val="0"/>
        <w:spacing w:after="120" w:afterLines="50" w:line="360" w:lineRule="auto"/>
        <w:ind w:left="426"/>
        <w:rPr>
          <w:sz w:val="20"/>
          <w:lang w:eastAsia="zh-CN"/>
        </w:rPr>
      </w:pPr>
      <w:r>
        <w:rPr>
          <w:sz w:val="20"/>
          <w:lang w:eastAsia="zh-CN"/>
        </w:rPr>
        <w:t xml:space="preserve">(5)For the equipment in Weight Group 3, if there is </w:t>
      </w:r>
      <w:r>
        <w:rPr>
          <w:rFonts w:hint="eastAsia"/>
          <w:sz w:val="20"/>
          <w:lang w:eastAsia="zh-CN"/>
        </w:rPr>
        <w:t>5</w:t>
      </w:r>
      <w:r>
        <w:rPr>
          <w:sz w:val="20"/>
          <w:lang w:eastAsia="zh-CN"/>
        </w:rPr>
        <w:t xml:space="preserve"> or more items (NOT cumulative quantity of items) being rated by the bid evaluation committee as showing “non-compliance”, the entire package shall be considered technically disqualified. </w:t>
      </w:r>
    </w:p>
    <w:p w14:paraId="06A92F01">
      <w:pPr>
        <w:widowControl w:val="0"/>
        <w:adjustRightInd w:val="0"/>
        <w:snapToGrid w:val="0"/>
        <w:spacing w:after="120" w:afterLines="50" w:line="360" w:lineRule="auto"/>
        <w:ind w:left="426"/>
        <w:rPr>
          <w:sz w:val="20"/>
          <w:lang w:eastAsia="zh-CN"/>
        </w:rPr>
      </w:pPr>
    </w:p>
    <w:p w14:paraId="4933D725">
      <w:pPr>
        <w:widowControl w:val="0"/>
        <w:numPr>
          <w:ilvl w:val="1"/>
          <w:numId w:val="20"/>
        </w:numPr>
        <w:adjustRightInd w:val="0"/>
        <w:snapToGrid w:val="0"/>
        <w:spacing w:after="240" w:afterLines="100" w:line="360" w:lineRule="auto"/>
        <w:ind w:left="354" w:hanging="354" w:hangingChars="177"/>
        <w:rPr>
          <w:sz w:val="20"/>
        </w:rPr>
      </w:pPr>
      <w:r>
        <w:rPr>
          <w:sz w:val="20"/>
        </w:rPr>
        <w:t>The Bid Evaluation Committee will evaluate and compare the bids which have been determined to be substantially responsive in accordance with the following evaluation criteria:</w:t>
      </w:r>
    </w:p>
    <w:p w14:paraId="64D172B7">
      <w:pPr>
        <w:spacing w:after="120" w:afterLines="50" w:line="360" w:lineRule="auto"/>
        <w:ind w:left="425" w:leftChars="177"/>
        <w:rPr>
          <w:sz w:val="20"/>
        </w:rPr>
      </w:pPr>
      <w:r>
        <w:rPr>
          <w:sz w:val="20"/>
        </w:rPr>
        <w:t>This part of the Evaluation will follow a comprehensive scoring method, taking into account the compliance with the technical specifications as well as the financial and commercial aspect and the quality of the bid. The Evaluation includes four parts i.e. Technical Evaluation, Price Evaluation, Commercial Evaluation and Others (please see below for details). The distribution of weighting is described as follow:</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2996"/>
        <w:gridCol w:w="1485"/>
        <w:gridCol w:w="2141"/>
      </w:tblGrid>
      <w:tr w14:paraId="7742B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tcBorders>
              <w:top w:val="single" w:color="auto" w:sz="4" w:space="0"/>
              <w:left w:val="single" w:color="auto" w:sz="4" w:space="0"/>
              <w:bottom w:val="single" w:color="auto" w:sz="4" w:space="0"/>
              <w:right w:val="single" w:color="auto" w:sz="4" w:space="0"/>
            </w:tcBorders>
            <w:vAlign w:val="center"/>
          </w:tcPr>
          <w:p w14:paraId="522AD33C">
            <w:pPr>
              <w:spacing w:line="360" w:lineRule="auto"/>
              <w:jc w:val="center"/>
              <w:rPr>
                <w:b/>
                <w:sz w:val="20"/>
              </w:rPr>
            </w:pPr>
            <w:r>
              <w:rPr>
                <w:b/>
                <w:sz w:val="20"/>
              </w:rPr>
              <w:t>No.</w:t>
            </w:r>
          </w:p>
        </w:tc>
        <w:tc>
          <w:tcPr>
            <w:tcW w:w="2996" w:type="dxa"/>
            <w:tcBorders>
              <w:top w:val="single" w:color="auto" w:sz="4" w:space="0"/>
              <w:left w:val="single" w:color="auto" w:sz="4" w:space="0"/>
              <w:bottom w:val="single" w:color="auto" w:sz="4" w:space="0"/>
              <w:right w:val="single" w:color="auto" w:sz="4" w:space="0"/>
            </w:tcBorders>
            <w:vAlign w:val="center"/>
          </w:tcPr>
          <w:p w14:paraId="4FF68F32">
            <w:pPr>
              <w:spacing w:line="360" w:lineRule="auto"/>
              <w:jc w:val="center"/>
              <w:rPr>
                <w:b/>
                <w:sz w:val="20"/>
              </w:rPr>
            </w:pPr>
            <w:r>
              <w:rPr>
                <w:b/>
                <w:sz w:val="20"/>
              </w:rPr>
              <w:t>Description</w:t>
            </w:r>
          </w:p>
        </w:tc>
        <w:tc>
          <w:tcPr>
            <w:tcW w:w="3626" w:type="dxa"/>
            <w:gridSpan w:val="2"/>
            <w:tcBorders>
              <w:top w:val="single" w:color="auto" w:sz="4" w:space="0"/>
              <w:left w:val="single" w:color="auto" w:sz="4" w:space="0"/>
              <w:bottom w:val="single" w:color="auto" w:sz="4" w:space="0"/>
              <w:right w:val="single" w:color="auto" w:sz="4" w:space="0"/>
            </w:tcBorders>
            <w:vAlign w:val="center"/>
          </w:tcPr>
          <w:p w14:paraId="40E0484E">
            <w:pPr>
              <w:spacing w:line="360" w:lineRule="auto"/>
              <w:jc w:val="center"/>
              <w:rPr>
                <w:b/>
                <w:sz w:val="20"/>
              </w:rPr>
            </w:pPr>
            <w:r>
              <w:rPr>
                <w:rFonts w:hint="eastAsia"/>
                <w:b/>
                <w:sz w:val="20"/>
              </w:rPr>
              <w:t>Technical Weight</w:t>
            </w:r>
          </w:p>
        </w:tc>
      </w:tr>
      <w:tr w14:paraId="36917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Merge w:val="restart"/>
            <w:tcBorders>
              <w:top w:val="single" w:color="auto" w:sz="4" w:space="0"/>
              <w:left w:val="single" w:color="auto" w:sz="4" w:space="0"/>
              <w:right w:val="single" w:color="auto" w:sz="4" w:space="0"/>
            </w:tcBorders>
            <w:vAlign w:val="center"/>
          </w:tcPr>
          <w:p w14:paraId="56274998">
            <w:pPr>
              <w:spacing w:line="360" w:lineRule="auto"/>
              <w:jc w:val="center"/>
              <w:rPr>
                <w:sz w:val="20"/>
              </w:rPr>
            </w:pPr>
            <w:r>
              <w:rPr>
                <w:sz w:val="20"/>
              </w:rPr>
              <w:t>Part A</w:t>
            </w:r>
          </w:p>
        </w:tc>
        <w:tc>
          <w:tcPr>
            <w:tcW w:w="2996" w:type="dxa"/>
            <w:vMerge w:val="restart"/>
            <w:tcBorders>
              <w:top w:val="single" w:color="auto" w:sz="4" w:space="0"/>
              <w:left w:val="single" w:color="auto" w:sz="4" w:space="0"/>
              <w:right w:val="single" w:color="auto" w:sz="4" w:space="0"/>
            </w:tcBorders>
            <w:vAlign w:val="center"/>
          </w:tcPr>
          <w:p w14:paraId="3C3F3365">
            <w:pPr>
              <w:spacing w:line="360" w:lineRule="auto"/>
              <w:jc w:val="center"/>
              <w:rPr>
                <w:sz w:val="20"/>
              </w:rPr>
            </w:pPr>
            <w:r>
              <w:rPr>
                <w:sz w:val="20"/>
              </w:rPr>
              <w:t>Technical Evaluation</w:t>
            </w:r>
          </w:p>
        </w:tc>
        <w:tc>
          <w:tcPr>
            <w:tcW w:w="1485" w:type="dxa"/>
            <w:vMerge w:val="restart"/>
            <w:tcBorders>
              <w:top w:val="single" w:color="auto" w:sz="4" w:space="0"/>
              <w:left w:val="single" w:color="auto" w:sz="4" w:space="0"/>
              <w:right w:val="single" w:color="auto" w:sz="4" w:space="0"/>
            </w:tcBorders>
            <w:vAlign w:val="center"/>
          </w:tcPr>
          <w:p w14:paraId="5FA38819">
            <w:pPr>
              <w:spacing w:line="360" w:lineRule="auto"/>
              <w:jc w:val="center"/>
              <w:rPr>
                <w:sz w:val="20"/>
              </w:rPr>
            </w:pPr>
            <w:r>
              <w:rPr>
                <w:sz w:val="20"/>
                <w:lang w:eastAsia="zh-CN"/>
              </w:rPr>
              <w:t>60</w:t>
            </w:r>
            <w:r>
              <w:rPr>
                <w:sz w:val="20"/>
              </w:rPr>
              <w:t>%</w:t>
            </w:r>
          </w:p>
        </w:tc>
        <w:tc>
          <w:tcPr>
            <w:tcW w:w="2141" w:type="dxa"/>
            <w:tcBorders>
              <w:top w:val="single" w:color="auto" w:sz="4" w:space="0"/>
              <w:left w:val="single" w:color="auto" w:sz="4" w:space="0"/>
              <w:bottom w:val="single" w:color="auto" w:sz="4" w:space="0"/>
              <w:right w:val="single" w:color="auto" w:sz="4" w:space="0"/>
            </w:tcBorders>
            <w:vAlign w:val="center"/>
          </w:tcPr>
          <w:p w14:paraId="1FA92231">
            <w:pPr>
              <w:spacing w:line="360" w:lineRule="auto"/>
              <w:jc w:val="center"/>
              <w:rPr>
                <w:sz w:val="20"/>
                <w:lang w:eastAsia="zh-CN"/>
              </w:rPr>
            </w:pPr>
            <w:r>
              <w:rPr>
                <w:sz w:val="18"/>
                <w:szCs w:val="18"/>
                <w:lang w:val="en-GB"/>
              </w:rPr>
              <w:t>G1</w:t>
            </w:r>
            <w:r>
              <w:rPr>
                <w:sz w:val="18"/>
                <w:szCs w:val="18"/>
                <w:lang w:eastAsia="zh-CN"/>
              </w:rPr>
              <w:t xml:space="preserve"> group: 40</w:t>
            </w:r>
            <w:r>
              <w:rPr>
                <w:sz w:val="18"/>
                <w:szCs w:val="18"/>
                <w:lang w:val="en-GB"/>
              </w:rPr>
              <w:t>%</w:t>
            </w:r>
          </w:p>
        </w:tc>
      </w:tr>
      <w:tr w14:paraId="16AD2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Merge w:val="continue"/>
            <w:tcBorders>
              <w:left w:val="single" w:color="auto" w:sz="4" w:space="0"/>
              <w:right w:val="single" w:color="auto" w:sz="4" w:space="0"/>
            </w:tcBorders>
            <w:vAlign w:val="center"/>
          </w:tcPr>
          <w:p w14:paraId="056829A1">
            <w:pPr>
              <w:spacing w:line="360" w:lineRule="auto"/>
              <w:jc w:val="center"/>
              <w:rPr>
                <w:sz w:val="20"/>
              </w:rPr>
            </w:pPr>
          </w:p>
        </w:tc>
        <w:tc>
          <w:tcPr>
            <w:tcW w:w="2996" w:type="dxa"/>
            <w:vMerge w:val="continue"/>
            <w:tcBorders>
              <w:left w:val="single" w:color="auto" w:sz="4" w:space="0"/>
              <w:right w:val="single" w:color="auto" w:sz="4" w:space="0"/>
            </w:tcBorders>
            <w:vAlign w:val="center"/>
          </w:tcPr>
          <w:p w14:paraId="0811BA3E">
            <w:pPr>
              <w:spacing w:line="360" w:lineRule="auto"/>
              <w:jc w:val="center"/>
              <w:rPr>
                <w:sz w:val="20"/>
              </w:rPr>
            </w:pPr>
          </w:p>
        </w:tc>
        <w:tc>
          <w:tcPr>
            <w:tcW w:w="1485" w:type="dxa"/>
            <w:vMerge w:val="continue"/>
            <w:tcBorders>
              <w:left w:val="single" w:color="auto" w:sz="4" w:space="0"/>
              <w:right w:val="single" w:color="auto" w:sz="4" w:space="0"/>
            </w:tcBorders>
            <w:vAlign w:val="center"/>
          </w:tcPr>
          <w:p w14:paraId="2B228B35">
            <w:pPr>
              <w:spacing w:line="360" w:lineRule="auto"/>
              <w:jc w:val="center"/>
              <w:rPr>
                <w:sz w:val="20"/>
                <w:lang w:eastAsia="zh-CN"/>
              </w:rPr>
            </w:pPr>
          </w:p>
        </w:tc>
        <w:tc>
          <w:tcPr>
            <w:tcW w:w="2141" w:type="dxa"/>
            <w:tcBorders>
              <w:top w:val="single" w:color="auto" w:sz="4" w:space="0"/>
              <w:left w:val="single" w:color="auto" w:sz="4" w:space="0"/>
              <w:bottom w:val="single" w:color="auto" w:sz="4" w:space="0"/>
              <w:right w:val="single" w:color="auto" w:sz="4" w:space="0"/>
            </w:tcBorders>
            <w:vAlign w:val="center"/>
          </w:tcPr>
          <w:p w14:paraId="674329F2">
            <w:pPr>
              <w:spacing w:line="360" w:lineRule="auto"/>
              <w:jc w:val="center"/>
              <w:rPr>
                <w:sz w:val="20"/>
                <w:lang w:eastAsia="zh-CN"/>
              </w:rPr>
            </w:pPr>
            <w:r>
              <w:rPr>
                <w:sz w:val="18"/>
                <w:szCs w:val="18"/>
                <w:lang w:val="en-GB"/>
              </w:rPr>
              <w:t>G</w:t>
            </w:r>
            <w:r>
              <w:rPr>
                <w:sz w:val="18"/>
                <w:szCs w:val="18"/>
              </w:rPr>
              <w:t>2</w:t>
            </w:r>
            <w:r>
              <w:rPr>
                <w:sz w:val="18"/>
                <w:szCs w:val="18"/>
                <w:lang w:eastAsia="zh-CN"/>
              </w:rPr>
              <w:t xml:space="preserve"> group: </w:t>
            </w:r>
            <w:r>
              <w:rPr>
                <w:sz w:val="18"/>
                <w:szCs w:val="18"/>
              </w:rPr>
              <w:t>15</w:t>
            </w:r>
            <w:r>
              <w:rPr>
                <w:sz w:val="18"/>
                <w:szCs w:val="18"/>
                <w:lang w:val="en-GB"/>
              </w:rPr>
              <w:t>%</w:t>
            </w:r>
          </w:p>
        </w:tc>
      </w:tr>
      <w:tr w14:paraId="4A4AC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Merge w:val="continue"/>
            <w:tcBorders>
              <w:left w:val="single" w:color="auto" w:sz="4" w:space="0"/>
              <w:bottom w:val="single" w:color="auto" w:sz="4" w:space="0"/>
              <w:right w:val="single" w:color="auto" w:sz="4" w:space="0"/>
            </w:tcBorders>
            <w:vAlign w:val="center"/>
          </w:tcPr>
          <w:p w14:paraId="0B45FEA0">
            <w:pPr>
              <w:spacing w:line="360" w:lineRule="auto"/>
              <w:jc w:val="center"/>
              <w:rPr>
                <w:sz w:val="20"/>
              </w:rPr>
            </w:pPr>
          </w:p>
        </w:tc>
        <w:tc>
          <w:tcPr>
            <w:tcW w:w="2996" w:type="dxa"/>
            <w:vMerge w:val="continue"/>
            <w:tcBorders>
              <w:left w:val="single" w:color="auto" w:sz="4" w:space="0"/>
              <w:bottom w:val="single" w:color="auto" w:sz="4" w:space="0"/>
              <w:right w:val="single" w:color="auto" w:sz="4" w:space="0"/>
            </w:tcBorders>
            <w:vAlign w:val="center"/>
          </w:tcPr>
          <w:p w14:paraId="17460716">
            <w:pPr>
              <w:spacing w:line="360" w:lineRule="auto"/>
              <w:jc w:val="center"/>
              <w:rPr>
                <w:sz w:val="20"/>
              </w:rPr>
            </w:pPr>
          </w:p>
        </w:tc>
        <w:tc>
          <w:tcPr>
            <w:tcW w:w="1485" w:type="dxa"/>
            <w:vMerge w:val="continue"/>
            <w:tcBorders>
              <w:left w:val="single" w:color="auto" w:sz="4" w:space="0"/>
              <w:bottom w:val="single" w:color="auto" w:sz="4" w:space="0"/>
              <w:right w:val="single" w:color="auto" w:sz="4" w:space="0"/>
            </w:tcBorders>
            <w:vAlign w:val="center"/>
          </w:tcPr>
          <w:p w14:paraId="748A8AFD">
            <w:pPr>
              <w:spacing w:line="360" w:lineRule="auto"/>
              <w:jc w:val="center"/>
              <w:rPr>
                <w:sz w:val="20"/>
                <w:lang w:eastAsia="zh-CN"/>
              </w:rPr>
            </w:pPr>
          </w:p>
        </w:tc>
        <w:tc>
          <w:tcPr>
            <w:tcW w:w="2141" w:type="dxa"/>
            <w:tcBorders>
              <w:top w:val="single" w:color="auto" w:sz="4" w:space="0"/>
              <w:left w:val="single" w:color="auto" w:sz="4" w:space="0"/>
              <w:bottom w:val="single" w:color="auto" w:sz="4" w:space="0"/>
              <w:right w:val="single" w:color="auto" w:sz="4" w:space="0"/>
            </w:tcBorders>
            <w:vAlign w:val="center"/>
          </w:tcPr>
          <w:p w14:paraId="02030E5D">
            <w:pPr>
              <w:spacing w:line="360" w:lineRule="auto"/>
              <w:jc w:val="center"/>
              <w:rPr>
                <w:sz w:val="20"/>
                <w:lang w:eastAsia="zh-CN"/>
              </w:rPr>
            </w:pPr>
            <w:r>
              <w:rPr>
                <w:sz w:val="18"/>
                <w:szCs w:val="18"/>
                <w:lang w:val="en-GB"/>
              </w:rPr>
              <w:t>G</w:t>
            </w:r>
            <w:r>
              <w:rPr>
                <w:sz w:val="18"/>
                <w:szCs w:val="18"/>
              </w:rPr>
              <w:t>3</w:t>
            </w:r>
            <w:r>
              <w:rPr>
                <w:sz w:val="18"/>
                <w:szCs w:val="18"/>
                <w:lang w:eastAsia="zh-CN"/>
              </w:rPr>
              <w:t xml:space="preserve"> group: </w:t>
            </w:r>
            <w:r>
              <w:rPr>
                <w:sz w:val="18"/>
                <w:szCs w:val="18"/>
              </w:rPr>
              <w:t>5</w:t>
            </w:r>
            <w:r>
              <w:rPr>
                <w:sz w:val="18"/>
                <w:szCs w:val="18"/>
                <w:lang w:val="en-GB"/>
              </w:rPr>
              <w:t>%</w:t>
            </w:r>
          </w:p>
        </w:tc>
      </w:tr>
      <w:tr w14:paraId="50D72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tcBorders>
              <w:top w:val="single" w:color="auto" w:sz="4" w:space="0"/>
              <w:left w:val="single" w:color="auto" w:sz="4" w:space="0"/>
              <w:bottom w:val="single" w:color="auto" w:sz="4" w:space="0"/>
              <w:right w:val="single" w:color="auto" w:sz="4" w:space="0"/>
            </w:tcBorders>
            <w:vAlign w:val="center"/>
          </w:tcPr>
          <w:p w14:paraId="3110C13D">
            <w:pPr>
              <w:spacing w:line="360" w:lineRule="auto"/>
              <w:jc w:val="center"/>
              <w:rPr>
                <w:sz w:val="20"/>
              </w:rPr>
            </w:pPr>
            <w:r>
              <w:rPr>
                <w:sz w:val="20"/>
              </w:rPr>
              <w:t>Part B</w:t>
            </w:r>
          </w:p>
        </w:tc>
        <w:tc>
          <w:tcPr>
            <w:tcW w:w="2996" w:type="dxa"/>
            <w:tcBorders>
              <w:top w:val="single" w:color="auto" w:sz="4" w:space="0"/>
              <w:left w:val="single" w:color="auto" w:sz="4" w:space="0"/>
              <w:bottom w:val="single" w:color="auto" w:sz="4" w:space="0"/>
              <w:right w:val="single" w:color="auto" w:sz="4" w:space="0"/>
            </w:tcBorders>
            <w:vAlign w:val="center"/>
          </w:tcPr>
          <w:p w14:paraId="6AD20724">
            <w:pPr>
              <w:spacing w:line="360" w:lineRule="auto"/>
              <w:jc w:val="center"/>
              <w:rPr>
                <w:sz w:val="20"/>
              </w:rPr>
            </w:pPr>
            <w:r>
              <w:rPr>
                <w:sz w:val="20"/>
              </w:rPr>
              <w:t>Price Evaluation</w:t>
            </w:r>
          </w:p>
        </w:tc>
        <w:tc>
          <w:tcPr>
            <w:tcW w:w="3626" w:type="dxa"/>
            <w:gridSpan w:val="2"/>
            <w:tcBorders>
              <w:top w:val="single" w:color="auto" w:sz="4" w:space="0"/>
              <w:left w:val="single" w:color="auto" w:sz="4" w:space="0"/>
              <w:bottom w:val="single" w:color="auto" w:sz="4" w:space="0"/>
              <w:right w:val="single" w:color="auto" w:sz="4" w:space="0"/>
            </w:tcBorders>
            <w:vAlign w:val="center"/>
          </w:tcPr>
          <w:p w14:paraId="1668E2F2">
            <w:pPr>
              <w:spacing w:line="360" w:lineRule="auto"/>
              <w:jc w:val="center"/>
              <w:rPr>
                <w:sz w:val="20"/>
              </w:rPr>
            </w:pPr>
            <w:r>
              <w:rPr>
                <w:sz w:val="20"/>
              </w:rPr>
              <w:t>3</w:t>
            </w:r>
            <w:r>
              <w:rPr>
                <w:sz w:val="20"/>
                <w:lang w:eastAsia="zh-CN"/>
              </w:rPr>
              <w:t>0</w:t>
            </w:r>
            <w:r>
              <w:rPr>
                <w:sz w:val="20"/>
              </w:rPr>
              <w:t>%</w:t>
            </w:r>
          </w:p>
        </w:tc>
      </w:tr>
      <w:tr w14:paraId="756D9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tcBorders>
              <w:top w:val="single" w:color="auto" w:sz="4" w:space="0"/>
              <w:left w:val="single" w:color="auto" w:sz="4" w:space="0"/>
              <w:bottom w:val="single" w:color="auto" w:sz="4" w:space="0"/>
              <w:right w:val="single" w:color="auto" w:sz="4" w:space="0"/>
            </w:tcBorders>
            <w:vAlign w:val="center"/>
          </w:tcPr>
          <w:p w14:paraId="68639CBC">
            <w:pPr>
              <w:spacing w:line="360" w:lineRule="auto"/>
              <w:jc w:val="center"/>
              <w:rPr>
                <w:sz w:val="20"/>
                <w:lang w:eastAsia="zh-CN"/>
              </w:rPr>
            </w:pPr>
            <w:r>
              <w:rPr>
                <w:sz w:val="20"/>
                <w:lang w:eastAsia="zh-CN"/>
              </w:rPr>
              <w:t>Part C</w:t>
            </w:r>
          </w:p>
        </w:tc>
        <w:tc>
          <w:tcPr>
            <w:tcW w:w="2996" w:type="dxa"/>
            <w:tcBorders>
              <w:top w:val="single" w:color="auto" w:sz="4" w:space="0"/>
              <w:left w:val="single" w:color="auto" w:sz="4" w:space="0"/>
              <w:bottom w:val="single" w:color="auto" w:sz="4" w:space="0"/>
              <w:right w:val="single" w:color="auto" w:sz="4" w:space="0"/>
            </w:tcBorders>
            <w:vAlign w:val="center"/>
          </w:tcPr>
          <w:p w14:paraId="5080D2CE">
            <w:pPr>
              <w:spacing w:line="360" w:lineRule="auto"/>
              <w:rPr>
                <w:lang w:eastAsia="zh-CN"/>
              </w:rPr>
            </w:pPr>
            <w:r>
              <w:rPr>
                <w:sz w:val="20"/>
              </w:rPr>
              <w:t xml:space="preserve">Commercial </w:t>
            </w:r>
            <w:r>
              <w:rPr>
                <w:rFonts w:hint="eastAsia"/>
                <w:sz w:val="20"/>
              </w:rPr>
              <w:t>and Other Comparison</w:t>
            </w:r>
          </w:p>
        </w:tc>
        <w:tc>
          <w:tcPr>
            <w:tcW w:w="3626" w:type="dxa"/>
            <w:gridSpan w:val="2"/>
            <w:tcBorders>
              <w:top w:val="single" w:color="auto" w:sz="4" w:space="0"/>
              <w:left w:val="single" w:color="auto" w:sz="4" w:space="0"/>
              <w:bottom w:val="single" w:color="auto" w:sz="4" w:space="0"/>
              <w:right w:val="single" w:color="auto" w:sz="4" w:space="0"/>
            </w:tcBorders>
            <w:vAlign w:val="center"/>
          </w:tcPr>
          <w:p w14:paraId="792401FF">
            <w:pPr>
              <w:spacing w:line="360" w:lineRule="auto"/>
              <w:jc w:val="center"/>
              <w:rPr>
                <w:sz w:val="20"/>
                <w:lang w:eastAsia="zh-CN"/>
              </w:rPr>
            </w:pPr>
            <w:r>
              <w:rPr>
                <w:rFonts w:hint="eastAsia"/>
                <w:sz w:val="20"/>
                <w:lang w:eastAsia="zh-CN"/>
              </w:rPr>
              <w:t>10</w:t>
            </w:r>
            <w:r>
              <w:rPr>
                <w:sz w:val="20"/>
                <w:lang w:eastAsia="zh-CN"/>
              </w:rPr>
              <w:t>%</w:t>
            </w:r>
          </w:p>
        </w:tc>
      </w:tr>
      <w:tr w14:paraId="5DE39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tcBorders>
              <w:top w:val="single" w:color="auto" w:sz="4" w:space="0"/>
              <w:left w:val="single" w:color="auto" w:sz="4" w:space="0"/>
              <w:bottom w:val="single" w:color="auto" w:sz="4" w:space="0"/>
              <w:right w:val="single" w:color="auto" w:sz="4" w:space="0"/>
            </w:tcBorders>
            <w:vAlign w:val="center"/>
          </w:tcPr>
          <w:p w14:paraId="38974153">
            <w:pPr>
              <w:spacing w:line="360" w:lineRule="auto"/>
              <w:jc w:val="center"/>
              <w:rPr>
                <w:b/>
                <w:bCs/>
                <w:sz w:val="20"/>
              </w:rPr>
            </w:pPr>
            <w:r>
              <w:rPr>
                <w:b/>
                <w:bCs/>
                <w:sz w:val="20"/>
              </w:rPr>
              <w:t>Total</w:t>
            </w:r>
          </w:p>
        </w:tc>
        <w:tc>
          <w:tcPr>
            <w:tcW w:w="2996" w:type="dxa"/>
            <w:tcBorders>
              <w:top w:val="single" w:color="auto" w:sz="4" w:space="0"/>
              <w:left w:val="single" w:color="auto" w:sz="4" w:space="0"/>
              <w:bottom w:val="single" w:color="auto" w:sz="4" w:space="0"/>
              <w:right w:val="single" w:color="auto" w:sz="4" w:space="0"/>
            </w:tcBorders>
            <w:vAlign w:val="center"/>
          </w:tcPr>
          <w:p w14:paraId="1DB1CE91">
            <w:pPr>
              <w:spacing w:line="360" w:lineRule="auto"/>
              <w:jc w:val="center"/>
              <w:rPr>
                <w:b/>
                <w:bCs/>
                <w:sz w:val="20"/>
              </w:rPr>
            </w:pPr>
          </w:p>
        </w:tc>
        <w:tc>
          <w:tcPr>
            <w:tcW w:w="3626" w:type="dxa"/>
            <w:gridSpan w:val="2"/>
            <w:tcBorders>
              <w:top w:val="single" w:color="auto" w:sz="4" w:space="0"/>
              <w:left w:val="single" w:color="auto" w:sz="4" w:space="0"/>
              <w:bottom w:val="single" w:color="auto" w:sz="4" w:space="0"/>
              <w:right w:val="single" w:color="auto" w:sz="4" w:space="0"/>
            </w:tcBorders>
            <w:vAlign w:val="center"/>
          </w:tcPr>
          <w:p w14:paraId="494E5A1B">
            <w:pPr>
              <w:spacing w:line="360" w:lineRule="auto"/>
              <w:jc w:val="center"/>
              <w:rPr>
                <w:b/>
                <w:bCs/>
                <w:sz w:val="20"/>
              </w:rPr>
            </w:pPr>
            <w:r>
              <w:rPr>
                <w:b/>
                <w:bCs/>
                <w:sz w:val="20"/>
              </w:rPr>
              <w:t>100%</w:t>
            </w:r>
          </w:p>
        </w:tc>
      </w:tr>
    </w:tbl>
    <w:p w14:paraId="7F490C75">
      <w:pPr>
        <w:spacing w:after="240" w:afterLines="100" w:line="360" w:lineRule="auto"/>
        <w:ind w:left="425"/>
        <w:rPr>
          <w:rFonts w:hint="default"/>
          <w:b/>
          <w:sz w:val="20"/>
          <w:lang w:val="en-US" w:eastAsia="zh-CN"/>
        </w:rPr>
      </w:pPr>
      <w:r>
        <w:rPr>
          <w:b/>
          <w:sz w:val="20"/>
          <w:lang w:eastAsia="zh-CN"/>
        </w:rPr>
        <w:t>Note: the bid evaluation committee will evaluate Part A  and C during the technical and commercial bid evaluation stage; and then evaluate Part B</w:t>
      </w:r>
      <w:r>
        <w:rPr>
          <w:rFonts w:hint="eastAsia"/>
          <w:b/>
          <w:sz w:val="20"/>
          <w:lang w:val="en-US" w:eastAsia="zh-CN"/>
        </w:rPr>
        <w:t>.</w:t>
      </w:r>
    </w:p>
    <w:p w14:paraId="306FD3C6">
      <w:pPr>
        <w:spacing w:after="120" w:afterLines="50" w:line="360" w:lineRule="auto"/>
        <w:ind w:left="426"/>
        <w:rPr>
          <w:b/>
          <w:sz w:val="20"/>
        </w:rPr>
      </w:pPr>
      <w:r>
        <w:rPr>
          <w:b/>
          <w:sz w:val="20"/>
        </w:rPr>
        <w:t>Comprehensive Evaluation Calculation Method</w:t>
      </w:r>
    </w:p>
    <w:p w14:paraId="4D1C22BA">
      <w:pPr>
        <w:spacing w:after="120" w:afterLines="50" w:line="360" w:lineRule="auto"/>
        <w:ind w:left="426"/>
        <w:rPr>
          <w:b/>
          <w:sz w:val="20"/>
        </w:rPr>
      </w:pPr>
      <w:r>
        <w:rPr>
          <w:b/>
          <w:sz w:val="20"/>
        </w:rPr>
        <w:t>Total= T×P + P1×P +</w:t>
      </w:r>
      <w:r>
        <w:rPr>
          <w:rFonts w:hint="eastAsia"/>
          <w:b/>
          <w:sz w:val="20"/>
          <w:lang w:eastAsia="zh-CN"/>
        </w:rPr>
        <w:t>C</w:t>
      </w:r>
      <w:r>
        <w:rPr>
          <w:b/>
          <w:sz w:val="20"/>
        </w:rPr>
        <w:t xml:space="preserve">&amp;O×P </w:t>
      </w:r>
    </w:p>
    <w:p w14:paraId="4B6D2491">
      <w:pPr>
        <w:spacing w:after="120" w:afterLines="50" w:line="360" w:lineRule="auto"/>
        <w:ind w:left="993"/>
        <w:rPr>
          <w:sz w:val="20"/>
        </w:rPr>
      </w:pPr>
      <w:r>
        <w:rPr>
          <w:sz w:val="20"/>
        </w:rPr>
        <w:t>T=Score of Technical Evaluation</w:t>
      </w:r>
    </w:p>
    <w:p w14:paraId="3520B734">
      <w:pPr>
        <w:spacing w:after="120" w:afterLines="50" w:line="360" w:lineRule="auto"/>
        <w:ind w:left="993"/>
        <w:rPr>
          <w:sz w:val="20"/>
        </w:rPr>
      </w:pPr>
      <w:r>
        <w:rPr>
          <w:sz w:val="20"/>
        </w:rPr>
        <w:t>P1=Score of Price Evaluation</w:t>
      </w:r>
    </w:p>
    <w:p w14:paraId="65476315">
      <w:pPr>
        <w:spacing w:after="120" w:afterLines="50" w:line="360" w:lineRule="auto"/>
        <w:ind w:left="993"/>
        <w:rPr>
          <w:sz w:val="20"/>
        </w:rPr>
      </w:pPr>
      <w:r>
        <w:rPr>
          <w:rFonts w:hint="eastAsia"/>
          <w:sz w:val="20"/>
          <w:lang w:eastAsia="zh-CN"/>
        </w:rPr>
        <w:t>C</w:t>
      </w:r>
      <w:r>
        <w:rPr>
          <w:sz w:val="20"/>
        </w:rPr>
        <w:t>&amp;O=Score of Commercial &amp; Others Evaluation</w:t>
      </w:r>
    </w:p>
    <w:p w14:paraId="7EB10DEB">
      <w:pPr>
        <w:spacing w:after="120" w:afterLines="50" w:line="360" w:lineRule="auto"/>
        <w:ind w:left="993"/>
        <w:rPr>
          <w:sz w:val="20"/>
        </w:rPr>
      </w:pPr>
      <w:r>
        <w:rPr>
          <w:sz w:val="20"/>
        </w:rPr>
        <w:t>P=Proportion</w:t>
      </w:r>
    </w:p>
    <w:p w14:paraId="696FE2C9">
      <w:pPr>
        <w:spacing w:after="120" w:afterLines="50" w:line="360" w:lineRule="auto"/>
        <w:ind w:left="839"/>
        <w:rPr>
          <w:sz w:val="20"/>
        </w:rPr>
      </w:pPr>
    </w:p>
    <w:p w14:paraId="045C20F3">
      <w:pPr>
        <w:spacing w:after="120" w:afterLines="50" w:line="360" w:lineRule="auto"/>
        <w:ind w:left="426"/>
        <w:rPr>
          <w:b/>
          <w:sz w:val="20"/>
          <w:lang w:eastAsia="zh-CN"/>
        </w:rPr>
      </w:pPr>
      <w:r>
        <w:rPr>
          <w:b/>
          <w:sz w:val="20"/>
        </w:rPr>
        <w:t>If one of the following is found in any bid, the bid will be rejected</w:t>
      </w:r>
      <w:r>
        <w:rPr>
          <w:b/>
          <w:sz w:val="20"/>
          <w:lang w:eastAsia="zh-CN"/>
        </w:rPr>
        <w:t>:</w:t>
      </w:r>
    </w:p>
    <w:p w14:paraId="5D68BB47">
      <w:pPr>
        <w:spacing w:after="120" w:afterLines="50" w:line="360" w:lineRule="auto"/>
        <w:ind w:left="851" w:leftChars="232" w:hanging="294" w:hangingChars="147"/>
        <w:rPr>
          <w:sz w:val="20"/>
        </w:rPr>
      </w:pPr>
      <w:r>
        <w:rPr>
          <w:sz w:val="20"/>
        </w:rPr>
        <w:t>A</w:t>
      </w:r>
      <w:r>
        <w:rPr>
          <w:sz w:val="20"/>
          <w:lang w:eastAsia="zh-CN"/>
        </w:rPr>
        <w:t xml:space="preserve">. </w:t>
      </w:r>
      <w:r>
        <w:rPr>
          <w:sz w:val="20"/>
        </w:rPr>
        <w:t>Any material deviation from the critical terms and conditions or material deviation resulting from modification made to the critical terms and conditions, or</w:t>
      </w:r>
    </w:p>
    <w:p w14:paraId="15E58B0E">
      <w:pPr>
        <w:spacing w:after="120" w:afterLines="50" w:line="360" w:lineRule="auto"/>
        <w:ind w:left="851" w:leftChars="232" w:hanging="294" w:hangingChars="147"/>
        <w:rPr>
          <w:sz w:val="20"/>
        </w:rPr>
      </w:pPr>
      <w:r>
        <w:rPr>
          <w:sz w:val="20"/>
        </w:rPr>
        <w:t>B</w:t>
      </w:r>
      <w:r>
        <w:rPr>
          <w:sz w:val="20"/>
          <w:lang w:eastAsia="zh-CN"/>
        </w:rPr>
        <w:t xml:space="preserve">. </w:t>
      </w:r>
      <w:r>
        <w:rPr>
          <w:sz w:val="20"/>
        </w:rPr>
        <w:t>Any material deviation from the critical terms and conditions resulting from modification made to the general terms and conditions, or</w:t>
      </w:r>
    </w:p>
    <w:p w14:paraId="22146005">
      <w:pPr>
        <w:spacing w:after="120" w:afterLines="50" w:line="360" w:lineRule="auto"/>
        <w:ind w:left="851" w:leftChars="232" w:hanging="294" w:hangingChars="147"/>
        <w:rPr>
          <w:sz w:val="20"/>
        </w:rPr>
      </w:pPr>
      <w:r>
        <w:rPr>
          <w:sz w:val="20"/>
        </w:rPr>
        <w:t>C</w:t>
      </w:r>
      <w:r>
        <w:rPr>
          <w:sz w:val="20"/>
          <w:lang w:eastAsia="zh-CN"/>
        </w:rPr>
        <w:t xml:space="preserve">. </w:t>
      </w:r>
      <w:r>
        <w:rPr>
          <w:sz w:val="20"/>
        </w:rPr>
        <w:t>In case of terms added by the bidder results in a material deviation from the critical terms and conditions.</w:t>
      </w:r>
    </w:p>
    <w:p w14:paraId="02B461AF">
      <w:pPr>
        <w:spacing w:after="120" w:afterLines="50" w:line="360" w:lineRule="auto"/>
        <w:ind w:left="839"/>
        <w:rPr>
          <w:sz w:val="20"/>
        </w:rPr>
      </w:pPr>
    </w:p>
    <w:p w14:paraId="5D141D16">
      <w:pPr>
        <w:spacing w:after="120" w:afterLines="50" w:line="360" w:lineRule="auto"/>
        <w:rPr>
          <w:b/>
          <w:szCs w:val="24"/>
          <w:lang w:eastAsia="zh-CN"/>
        </w:rPr>
      </w:pPr>
      <w:r>
        <w:rPr>
          <w:b/>
          <w:szCs w:val="24"/>
        </w:rPr>
        <w:t>Evaluation criteria:</w:t>
      </w:r>
    </w:p>
    <w:p w14:paraId="68D2B1FF">
      <w:pPr>
        <w:adjustRightInd w:val="0"/>
        <w:snapToGrid w:val="0"/>
        <w:spacing w:after="240" w:afterLines="100" w:line="360" w:lineRule="auto"/>
        <w:ind w:right="386"/>
        <w:rPr>
          <w:sz w:val="20"/>
        </w:rPr>
      </w:pPr>
      <w:r>
        <w:rPr>
          <w:b/>
          <w:bCs/>
          <w:sz w:val="20"/>
          <w:u w:val="single"/>
        </w:rPr>
        <w:t>Part A</w:t>
      </w:r>
      <w:r>
        <w:rPr>
          <w:b/>
          <w:bCs/>
          <w:sz w:val="20"/>
          <w:u w:val="single"/>
        </w:rPr>
        <w:tab/>
      </w:r>
      <w:r>
        <w:rPr>
          <w:b/>
          <w:bCs/>
          <w:sz w:val="20"/>
          <w:u w:val="single"/>
        </w:rPr>
        <w:t>Technical part (</w:t>
      </w:r>
      <w:r>
        <w:rPr>
          <w:b/>
          <w:bCs/>
          <w:sz w:val="20"/>
          <w:u w:val="single"/>
          <w:lang w:eastAsia="zh-CN"/>
        </w:rPr>
        <w:t>60</w:t>
      </w:r>
      <w:r>
        <w:rPr>
          <w:b/>
          <w:bCs/>
          <w:sz w:val="20"/>
          <w:u w:val="single"/>
        </w:rPr>
        <w:t>%)</w:t>
      </w:r>
    </w:p>
    <w:p w14:paraId="76037B12">
      <w:pPr>
        <w:spacing w:line="360" w:lineRule="auto"/>
        <w:rPr>
          <w:rFonts w:eastAsia="黑体"/>
          <w:sz w:val="20"/>
        </w:rPr>
      </w:pPr>
      <w:r>
        <w:rPr>
          <w:rFonts w:eastAsia="黑体"/>
          <w:sz w:val="20"/>
        </w:rPr>
        <w:t xml:space="preserve">The total technical points of will be determined by adding points of </w:t>
      </w:r>
      <w:r>
        <w:rPr>
          <w:rFonts w:eastAsia="黑体"/>
          <w:sz w:val="20"/>
          <w:lang w:eastAsia="zh-CN"/>
        </w:rPr>
        <w:t xml:space="preserve">each </w:t>
      </w:r>
      <w:r>
        <w:rPr>
          <w:rFonts w:eastAsia="黑体"/>
          <w:sz w:val="20"/>
        </w:rPr>
        <w:t xml:space="preserve">equipment </w:t>
      </w:r>
      <w:r>
        <w:rPr>
          <w:rFonts w:eastAsia="黑体"/>
          <w:bCs/>
          <w:sz w:val="20"/>
          <w:lang w:val="en-GB"/>
        </w:rPr>
        <w:t xml:space="preserve">divided by the cumulative </w:t>
      </w:r>
      <w:r>
        <w:rPr>
          <w:rFonts w:eastAsia="黑体"/>
          <w:bCs/>
          <w:sz w:val="20"/>
          <w:lang w:eastAsia="zh-CN"/>
        </w:rPr>
        <w:t>quantity</w:t>
      </w:r>
      <w:r>
        <w:rPr>
          <w:rFonts w:eastAsia="黑体"/>
          <w:bCs/>
          <w:sz w:val="20"/>
          <w:lang w:val="en-GB"/>
        </w:rPr>
        <w:t xml:space="preserve"> of equipment</w:t>
      </w:r>
      <w:r>
        <w:rPr>
          <w:rFonts w:eastAsia="黑体"/>
          <w:bCs/>
          <w:sz w:val="20"/>
        </w:rPr>
        <w:t xml:space="preserve">, then multiply </w:t>
      </w:r>
      <w:r>
        <w:rPr>
          <w:rFonts w:eastAsia="黑体"/>
          <w:bCs/>
          <w:sz w:val="20"/>
          <w:lang w:val="en-GB"/>
        </w:rPr>
        <w:t>weighting</w:t>
      </w:r>
      <w:r>
        <w:rPr>
          <w:rFonts w:eastAsia="黑体"/>
          <w:bCs/>
          <w:sz w:val="20"/>
        </w:rPr>
        <w:t xml:space="preserve">. The formula </w:t>
      </w:r>
      <w:r>
        <w:rPr>
          <w:rFonts w:eastAsia="黑体"/>
          <w:bCs/>
          <w:sz w:val="20"/>
          <w:lang w:eastAsia="zh-CN"/>
        </w:rPr>
        <w:t xml:space="preserve">for Part A </w:t>
      </w:r>
      <w:r>
        <w:rPr>
          <w:rFonts w:eastAsia="黑体"/>
          <w:bCs/>
          <w:sz w:val="20"/>
        </w:rPr>
        <w:t>is described below:</w:t>
      </w:r>
    </w:p>
    <w:p w14:paraId="7E954FE8">
      <w:pPr>
        <w:spacing w:line="360" w:lineRule="auto"/>
        <w:rPr>
          <w:rFonts w:eastAsia="黑体"/>
          <w:b/>
          <w:sz w:val="20"/>
        </w:rPr>
      </w:pPr>
    </w:p>
    <w:p w14:paraId="1F95FF06">
      <w:pPr>
        <w:spacing w:line="360" w:lineRule="auto"/>
        <w:rPr>
          <w:rFonts w:eastAsia="黑体"/>
          <w:b/>
          <w:sz w:val="20"/>
        </w:rPr>
      </w:pPr>
      <w:r>
        <w:rPr>
          <w:rFonts w:eastAsia="黑体"/>
          <w:b/>
          <w:sz w:val="20"/>
        </w:rPr>
        <w:t>Group 1 Average score (</w:t>
      </w:r>
      <w:r>
        <w:rPr>
          <w:rFonts w:eastAsia="黑体"/>
          <w:b/>
          <w:sz w:val="20"/>
          <w:lang w:eastAsia="zh-CN"/>
        </w:rPr>
        <w:t>C</w:t>
      </w:r>
      <w:r>
        <w:rPr>
          <w:rFonts w:eastAsia="黑体"/>
          <w:b/>
          <w:sz w:val="20"/>
        </w:rPr>
        <w:t xml:space="preserve">1) = ∑ (score of a Group 1 item x quantity of this item) / accumulative quantity of all Group 1 items  </w:t>
      </w:r>
    </w:p>
    <w:p w14:paraId="620FF035">
      <w:pPr>
        <w:spacing w:line="360" w:lineRule="auto"/>
        <w:rPr>
          <w:rFonts w:eastAsia="黑体"/>
          <w:b/>
          <w:sz w:val="20"/>
        </w:rPr>
      </w:pPr>
      <w:r>
        <w:rPr>
          <w:rFonts w:eastAsia="黑体"/>
          <w:b/>
          <w:sz w:val="20"/>
        </w:rPr>
        <w:t>Group 2 Average score (</w:t>
      </w:r>
      <w:r>
        <w:rPr>
          <w:rFonts w:eastAsia="黑体"/>
          <w:b/>
          <w:sz w:val="20"/>
          <w:lang w:eastAsia="zh-CN"/>
        </w:rPr>
        <w:t>C</w:t>
      </w:r>
      <w:r>
        <w:rPr>
          <w:rFonts w:eastAsia="黑体"/>
          <w:b/>
          <w:sz w:val="20"/>
        </w:rPr>
        <w:t xml:space="preserve">2) = ∑ (score of a Group 2 item x quantity of this item) / accumulative quantity of all Group 2 items </w:t>
      </w:r>
    </w:p>
    <w:p w14:paraId="1A1A4FEF">
      <w:pPr>
        <w:spacing w:line="360" w:lineRule="auto"/>
        <w:rPr>
          <w:rFonts w:eastAsia="黑体"/>
          <w:b/>
          <w:sz w:val="20"/>
        </w:rPr>
      </w:pPr>
      <w:r>
        <w:rPr>
          <w:rFonts w:eastAsia="黑体"/>
          <w:b/>
          <w:sz w:val="20"/>
        </w:rPr>
        <w:t>Group 3 Average score (</w:t>
      </w:r>
      <w:r>
        <w:rPr>
          <w:rFonts w:eastAsia="黑体"/>
          <w:b/>
          <w:sz w:val="20"/>
          <w:lang w:eastAsia="zh-CN"/>
        </w:rPr>
        <w:t>C</w:t>
      </w:r>
      <w:r>
        <w:rPr>
          <w:rFonts w:eastAsia="黑体"/>
          <w:b/>
          <w:sz w:val="20"/>
        </w:rPr>
        <w:t xml:space="preserve">3) = ∑ (score of a Group 3 item x quantity of this item) / accumulative quantity of all Group 3 items </w:t>
      </w:r>
    </w:p>
    <w:p w14:paraId="314A561D">
      <w:pPr>
        <w:spacing w:line="360" w:lineRule="auto"/>
        <w:rPr>
          <w:rFonts w:eastAsia="黑体"/>
          <w:b/>
          <w:sz w:val="20"/>
        </w:rPr>
      </w:pPr>
      <w:r>
        <w:rPr>
          <w:rFonts w:eastAsia="黑体"/>
          <w:b/>
          <w:sz w:val="20"/>
        </w:rPr>
        <w:t xml:space="preserve">Weighted score of </w:t>
      </w:r>
      <w:r>
        <w:rPr>
          <w:rFonts w:eastAsia="黑体"/>
          <w:b/>
          <w:sz w:val="20"/>
          <w:lang w:eastAsia="zh-CN"/>
        </w:rPr>
        <w:t>Part A</w:t>
      </w:r>
      <w:r>
        <w:rPr>
          <w:rFonts w:eastAsia="黑体"/>
          <w:b/>
          <w:sz w:val="20"/>
        </w:rPr>
        <w:t xml:space="preserve"> =</w:t>
      </w:r>
      <w:r>
        <w:rPr>
          <w:rFonts w:eastAsia="黑体"/>
          <w:b/>
          <w:sz w:val="20"/>
          <w:lang w:eastAsia="zh-CN"/>
        </w:rPr>
        <w:t>C</w:t>
      </w:r>
      <w:r>
        <w:rPr>
          <w:rFonts w:eastAsia="黑体"/>
          <w:b/>
          <w:sz w:val="20"/>
        </w:rPr>
        <w:t>1 x Weight</w:t>
      </w:r>
      <w:r>
        <w:rPr>
          <w:rFonts w:eastAsia="黑体"/>
          <w:b/>
          <w:sz w:val="20"/>
          <w:u w:val="single"/>
        </w:rPr>
        <w:t xml:space="preserve"> (</w:t>
      </w:r>
      <w:r>
        <w:rPr>
          <w:rFonts w:eastAsia="黑体"/>
          <w:b/>
          <w:sz w:val="20"/>
          <w:u w:val="single"/>
          <w:lang w:eastAsia="zh-CN"/>
        </w:rPr>
        <w:t>40</w:t>
      </w:r>
      <w:r>
        <w:rPr>
          <w:rFonts w:eastAsia="黑体"/>
          <w:b/>
          <w:sz w:val="20"/>
          <w:u w:val="single"/>
        </w:rPr>
        <w:t>%)</w:t>
      </w:r>
      <w:r>
        <w:rPr>
          <w:rFonts w:eastAsia="黑体"/>
          <w:b/>
          <w:sz w:val="20"/>
        </w:rPr>
        <w:t>+</w:t>
      </w:r>
      <w:r>
        <w:rPr>
          <w:rFonts w:eastAsia="黑体"/>
          <w:b/>
          <w:sz w:val="20"/>
          <w:lang w:eastAsia="zh-CN"/>
        </w:rPr>
        <w:t>C</w:t>
      </w:r>
      <w:r>
        <w:rPr>
          <w:rFonts w:eastAsia="黑体"/>
          <w:b/>
          <w:sz w:val="20"/>
        </w:rPr>
        <w:t xml:space="preserve">2 x Weight </w:t>
      </w:r>
      <w:r>
        <w:rPr>
          <w:rFonts w:eastAsia="黑体"/>
          <w:b/>
          <w:sz w:val="20"/>
          <w:u w:val="single"/>
        </w:rPr>
        <w:t>(</w:t>
      </w:r>
      <w:r>
        <w:rPr>
          <w:rFonts w:eastAsia="黑体"/>
          <w:b/>
          <w:sz w:val="20"/>
          <w:u w:val="single"/>
          <w:lang w:eastAsia="zh-CN"/>
        </w:rPr>
        <w:t>15</w:t>
      </w:r>
      <w:r>
        <w:rPr>
          <w:rFonts w:eastAsia="黑体"/>
          <w:b/>
          <w:sz w:val="20"/>
          <w:u w:val="single"/>
        </w:rPr>
        <w:t>%)</w:t>
      </w:r>
      <w:r>
        <w:rPr>
          <w:rFonts w:eastAsia="黑体"/>
          <w:b/>
          <w:sz w:val="20"/>
        </w:rPr>
        <w:t xml:space="preserve"> + </w:t>
      </w:r>
      <w:r>
        <w:rPr>
          <w:rFonts w:eastAsia="黑体"/>
          <w:b/>
          <w:sz w:val="20"/>
          <w:lang w:eastAsia="zh-CN"/>
        </w:rPr>
        <w:t>C</w:t>
      </w:r>
      <w:r>
        <w:rPr>
          <w:rFonts w:eastAsia="黑体"/>
          <w:b/>
          <w:sz w:val="20"/>
        </w:rPr>
        <w:t xml:space="preserve">3 x Weight </w:t>
      </w:r>
      <w:r>
        <w:rPr>
          <w:rFonts w:eastAsia="黑体"/>
          <w:b/>
          <w:sz w:val="20"/>
          <w:u w:val="single"/>
        </w:rPr>
        <w:t>(5%)</w:t>
      </w:r>
    </w:p>
    <w:p w14:paraId="0BD65807">
      <w:pPr>
        <w:spacing w:line="360" w:lineRule="auto"/>
        <w:rPr>
          <w:rFonts w:eastAsia="黑体"/>
          <w:bCs/>
          <w:sz w:val="20"/>
          <w:lang w:val="en-GB"/>
        </w:rPr>
      </w:pPr>
    </w:p>
    <w:p w14:paraId="38FBAE94">
      <w:pPr>
        <w:spacing w:line="360" w:lineRule="auto"/>
        <w:ind w:right="106"/>
        <w:rPr>
          <w:rFonts w:eastAsia="黑体"/>
          <w:bCs/>
          <w:sz w:val="20"/>
        </w:rPr>
      </w:pPr>
      <w:r>
        <w:rPr>
          <w:sz w:val="20"/>
          <w:lang w:val="en-GB"/>
        </w:rPr>
        <w:t xml:space="preserve">As the technical content is one of the major </w:t>
      </w:r>
      <w:r>
        <w:rPr>
          <w:sz w:val="20"/>
        </w:rPr>
        <w:t>factor</w:t>
      </w:r>
      <w:r>
        <w:rPr>
          <w:sz w:val="20"/>
          <w:lang w:val="en-GB"/>
        </w:rPr>
        <w:t>s of th</w:t>
      </w:r>
      <w:r>
        <w:rPr>
          <w:sz w:val="20"/>
        </w:rPr>
        <w:t>e</w:t>
      </w:r>
      <w:r>
        <w:rPr>
          <w:sz w:val="20"/>
          <w:lang w:val="en-GB"/>
        </w:rPr>
        <w:t xml:space="preserve"> tender, </w:t>
      </w:r>
      <w:r>
        <w:rPr>
          <w:sz w:val="20"/>
        </w:rPr>
        <w:t>bids</w:t>
      </w:r>
      <w:r>
        <w:rPr>
          <w:sz w:val="20"/>
          <w:lang w:val="en-GB"/>
        </w:rPr>
        <w:t xml:space="preserve"> </w:t>
      </w:r>
      <w:r>
        <w:rPr>
          <w:b/>
          <w:sz w:val="20"/>
          <w:lang w:val="en-GB"/>
        </w:rPr>
        <w:t>MUST</w:t>
      </w:r>
      <w:r>
        <w:rPr>
          <w:sz w:val="20"/>
          <w:lang w:val="en-GB"/>
        </w:rPr>
        <w:t xml:space="preserve"> fulfil the following minimum requirements:</w:t>
      </w:r>
    </w:p>
    <w:p w14:paraId="2A6539C9">
      <w:pPr>
        <w:spacing w:line="360" w:lineRule="auto"/>
        <w:ind w:left="720"/>
        <w:rPr>
          <w:rFonts w:eastAsia="黑体"/>
          <w:bCs/>
          <w:sz w:val="20"/>
          <w:lang w:val="en-GB"/>
        </w:rPr>
      </w:pPr>
    </w:p>
    <w:p w14:paraId="08669B94">
      <w:pPr>
        <w:tabs>
          <w:tab w:val="left" w:pos="-200"/>
        </w:tabs>
        <w:spacing w:after="200" w:line="360" w:lineRule="auto"/>
        <w:ind w:right="-94"/>
        <w:rPr>
          <w:rFonts w:eastAsia="黑体"/>
          <w:sz w:val="20"/>
        </w:rPr>
      </w:pPr>
      <w:r>
        <w:rPr>
          <w:rFonts w:eastAsia="黑体"/>
          <w:sz w:val="20"/>
          <w:lang w:eastAsia="zh-CN"/>
        </w:rPr>
        <w:t>1）</w:t>
      </w:r>
      <w:r>
        <w:rPr>
          <w:rFonts w:eastAsia="黑体"/>
          <w:sz w:val="20"/>
        </w:rPr>
        <w:t xml:space="preserve">All equipment offered by the any bidder shall comply with the following requirements: </w:t>
      </w:r>
    </w:p>
    <w:p w14:paraId="1B53D382">
      <w:pPr>
        <w:widowControl w:val="0"/>
        <w:spacing w:line="360" w:lineRule="auto"/>
        <w:ind w:right="106"/>
        <w:rPr>
          <w:rFonts w:eastAsia="黑体"/>
          <w:bCs/>
          <w:sz w:val="20"/>
        </w:rPr>
      </w:pPr>
      <w:r>
        <w:rPr>
          <w:rFonts w:eastAsia="黑体"/>
          <w:sz w:val="20"/>
          <w:lang w:eastAsia="zh-CN"/>
        </w:rPr>
        <w:t>a)</w:t>
      </w:r>
      <w:r>
        <w:rPr>
          <w:rFonts w:eastAsia="黑体"/>
          <w:sz w:val="20"/>
        </w:rPr>
        <w:t xml:space="preserve"> </w:t>
      </w:r>
      <w:r>
        <w:rPr>
          <w:rFonts w:hint="eastAsia" w:eastAsia="黑体"/>
          <w:sz w:val="20"/>
          <w:lang w:eastAsia="zh-CN"/>
        </w:rPr>
        <w:t>A</w:t>
      </w:r>
      <w:r>
        <w:rPr>
          <w:rFonts w:eastAsia="黑体"/>
          <w:sz w:val="20"/>
          <w:lang w:eastAsia="zh-CN"/>
        </w:rPr>
        <w:t xml:space="preserve">ll items </w:t>
      </w:r>
      <w:r>
        <w:rPr>
          <w:rFonts w:eastAsia="黑体"/>
          <w:sz w:val="20"/>
        </w:rPr>
        <w:t>MUST comply with any</w:t>
      </w:r>
      <w:r>
        <w:rPr>
          <w:rFonts w:hint="eastAsia" w:eastAsia="黑体"/>
          <w:sz w:val="20"/>
          <w:lang w:eastAsia="zh-CN"/>
        </w:rPr>
        <w:t xml:space="preserve"> </w:t>
      </w:r>
      <w:r>
        <w:rPr>
          <w:rFonts w:eastAsia="黑体"/>
          <w:sz w:val="20"/>
        </w:rPr>
        <w:t>key parameters marked with asterisk (“*”) specified in the Technical Specifications Forms of the bidding document. All such parameters marked with asterisk (“*”) shall be supported by technical documentary evidence.</w:t>
      </w:r>
      <w:r>
        <w:rPr>
          <w:rFonts w:eastAsia="黑体"/>
          <w:sz w:val="20"/>
          <w:lang w:eastAsia="zh-CN"/>
        </w:rPr>
        <w:t xml:space="preserve"> </w:t>
      </w:r>
      <w:r>
        <w:rPr>
          <w:rFonts w:eastAsia="黑体"/>
          <w:sz w:val="20"/>
        </w:rPr>
        <w:t>Technical documentary evidence shall be consisted of published documents which were released by manufacturer of the offered goods or the original technical description with the official seal of the manufacturer (or its subsidiaries in China) or the test report issued by an inspection authority. If the information is inconsistent, the test report shall prevail. Otherwise, the</w:t>
      </w:r>
      <w:r>
        <w:rPr>
          <w:rFonts w:hint="eastAsia" w:eastAsia="黑体"/>
          <w:sz w:val="20"/>
          <w:lang w:eastAsia="zh-CN"/>
        </w:rPr>
        <w:t xml:space="preserve"> </w:t>
      </w:r>
      <w:r>
        <w:rPr>
          <w:rFonts w:eastAsia="黑体"/>
          <w:sz w:val="20"/>
        </w:rPr>
        <w:t>technical bid will be regarded as non-responsive to the bidding document,</w:t>
      </w:r>
      <w:r>
        <w:rPr>
          <w:rFonts w:eastAsia="黑体"/>
          <w:bCs/>
          <w:sz w:val="20"/>
        </w:rPr>
        <w:t xml:space="preserve"> and that the bid will be rejected</w:t>
      </w:r>
    </w:p>
    <w:p w14:paraId="2F9A0F6C">
      <w:pPr>
        <w:spacing w:line="360" w:lineRule="auto"/>
        <w:ind w:right="106"/>
        <w:rPr>
          <w:rFonts w:eastAsia="黑体"/>
          <w:sz w:val="20"/>
          <w:lang w:eastAsia="zh-CN"/>
        </w:rPr>
      </w:pPr>
      <w:r>
        <w:rPr>
          <w:rFonts w:eastAsia="黑体"/>
          <w:sz w:val="20"/>
        </w:rPr>
        <w:t xml:space="preserve">b)  </w:t>
      </w:r>
      <w:r>
        <w:rPr>
          <w:rFonts w:eastAsia="黑体"/>
          <w:sz w:val="20"/>
          <w:lang w:eastAsia="zh-CN"/>
        </w:rPr>
        <w:t>During the process of the technical evaluation to the bids, for the equipment belong to this package:</w:t>
      </w:r>
    </w:p>
    <w:p w14:paraId="444E7D46">
      <w:pPr>
        <w:spacing w:line="360" w:lineRule="auto"/>
        <w:ind w:right="106"/>
        <w:rPr>
          <w:rFonts w:eastAsia="黑体"/>
          <w:bCs/>
          <w:sz w:val="20"/>
          <w:lang w:eastAsia="zh-CN"/>
        </w:rPr>
      </w:pPr>
      <w:r>
        <w:rPr>
          <w:rFonts w:eastAsia="黑体"/>
          <w:b/>
          <w:sz w:val="20"/>
          <w:u w:val="single"/>
        </w:rPr>
        <w:t>Weight Group 1</w:t>
      </w:r>
      <w:r>
        <w:rPr>
          <w:rFonts w:eastAsia="黑体"/>
          <w:bCs/>
          <w:sz w:val="20"/>
        </w:rPr>
        <w:t xml:space="preserve">: </w:t>
      </w:r>
      <w:r>
        <w:rPr>
          <w:rFonts w:eastAsia="黑体"/>
          <w:bCs/>
          <w:sz w:val="20"/>
          <w:lang w:eastAsia="zh-CN"/>
        </w:rPr>
        <w:t xml:space="preserve">for </w:t>
      </w:r>
      <w:r>
        <w:rPr>
          <w:rFonts w:eastAsia="黑体"/>
          <w:bCs/>
          <w:sz w:val="20"/>
        </w:rPr>
        <w:t xml:space="preserve"> </w:t>
      </w:r>
      <w:r>
        <w:rPr>
          <w:rFonts w:eastAsia="黑体"/>
          <w:bCs/>
          <w:sz w:val="20"/>
          <w:lang w:eastAsia="zh-CN"/>
        </w:rPr>
        <w:t xml:space="preserve">the </w:t>
      </w:r>
      <w:r>
        <w:rPr>
          <w:rFonts w:eastAsia="黑体"/>
          <w:bCs/>
          <w:sz w:val="20"/>
        </w:rPr>
        <w:t>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 if not more  than</w:t>
      </w:r>
      <w:r>
        <w:rPr>
          <w:rFonts w:eastAsia="黑体"/>
          <w:bCs/>
          <w:sz w:val="20"/>
        </w:rPr>
        <w:t xml:space="preserve"> </w:t>
      </w:r>
      <w:r>
        <w:rPr>
          <w:rFonts w:eastAsia="黑体"/>
          <w:bCs/>
          <w:sz w:val="20"/>
          <w:lang w:eastAsia="zh-CN"/>
        </w:rPr>
        <w:t>5</w:t>
      </w:r>
      <w:r>
        <w:rPr>
          <w:rFonts w:eastAsia="黑体"/>
          <w:bCs/>
          <w:sz w:val="20"/>
        </w:rPr>
        <w:t xml:space="preserve">% of the </w:t>
      </w:r>
      <w:r>
        <w:rPr>
          <w:rFonts w:eastAsia="黑体"/>
          <w:bCs/>
          <w:sz w:val="20"/>
          <w:lang w:eastAsia="zh-CN"/>
        </w:rPr>
        <w:t xml:space="preserve">above </w:t>
      </w:r>
      <w:r>
        <w:rPr>
          <w:rFonts w:eastAsia="黑体"/>
          <w:bCs/>
          <w:sz w:val="20"/>
        </w:rPr>
        <w:t>parameter</w:t>
      </w:r>
      <w:r>
        <w:rPr>
          <w:rFonts w:eastAsia="黑体"/>
          <w:bCs/>
          <w:sz w:val="20"/>
          <w:lang w:eastAsia="zh-CN"/>
        </w:rPr>
        <w:t xml:space="preserve">s </w:t>
      </w:r>
      <w:r>
        <w:rPr>
          <w:rFonts w:eastAsia="黑体"/>
          <w:bCs/>
          <w:sz w:val="20"/>
        </w:rPr>
        <w:t xml:space="preserve"> do not comply with the </w:t>
      </w:r>
      <w:r>
        <w:rPr>
          <w:rFonts w:eastAsia="黑体"/>
          <w:bCs/>
          <w:sz w:val="20"/>
          <w:lang w:eastAsia="zh-CN"/>
        </w:rPr>
        <w:t xml:space="preserve">parameters specified for the equipment, it belongs to </w:t>
      </w:r>
      <w:r>
        <w:rPr>
          <w:rFonts w:eastAsia="黑体"/>
          <w:bCs/>
          <w:sz w:val="20"/>
        </w:rPr>
        <w:t xml:space="preserve"> </w:t>
      </w:r>
      <w:r>
        <w:rPr>
          <w:rFonts w:eastAsia="黑体"/>
          <w:bCs/>
          <w:sz w:val="20"/>
          <w:lang w:eastAsia="zh-CN"/>
        </w:rPr>
        <w:t>a m</w:t>
      </w:r>
      <w:r>
        <w:rPr>
          <w:rFonts w:eastAsia="黑体"/>
          <w:bCs/>
          <w:sz w:val="20"/>
        </w:rPr>
        <w:t xml:space="preserve">inor </w:t>
      </w:r>
      <w:r>
        <w:rPr>
          <w:rFonts w:eastAsia="黑体"/>
          <w:bCs/>
          <w:sz w:val="20"/>
          <w:lang w:eastAsia="zh-CN"/>
        </w:rPr>
        <w:t>d</w:t>
      </w:r>
      <w:r>
        <w:rPr>
          <w:rFonts w:eastAsia="黑体"/>
          <w:bCs/>
          <w:sz w:val="20"/>
        </w:rPr>
        <w:t>eviation</w:t>
      </w:r>
      <w:r>
        <w:rPr>
          <w:rFonts w:eastAsia="黑体"/>
          <w:bCs/>
          <w:sz w:val="20"/>
          <w:lang w:eastAsia="zh-CN"/>
        </w:rPr>
        <w:t xml:space="preserve">; </w:t>
      </w:r>
      <w:r>
        <w:rPr>
          <w:rFonts w:eastAsia="黑体"/>
          <w:bCs/>
          <w:sz w:val="20"/>
        </w:rPr>
        <w:t xml:space="preserve">more than 5% but </w:t>
      </w:r>
      <w:r>
        <w:rPr>
          <w:rFonts w:eastAsia="黑体"/>
          <w:bCs/>
          <w:sz w:val="20"/>
          <w:lang w:eastAsia="zh-CN"/>
        </w:rPr>
        <w:t xml:space="preserve">not more </w:t>
      </w:r>
      <w:r>
        <w:rPr>
          <w:rFonts w:eastAsia="黑体"/>
          <w:bCs/>
          <w:sz w:val="20"/>
        </w:rPr>
        <w:t xml:space="preserve">than 10% is </w:t>
      </w:r>
      <w:r>
        <w:rPr>
          <w:rFonts w:eastAsia="黑体"/>
          <w:bCs/>
          <w:sz w:val="20"/>
          <w:lang w:eastAsia="zh-CN"/>
        </w:rPr>
        <w:t xml:space="preserve">a </w:t>
      </w:r>
      <w:r>
        <w:rPr>
          <w:rFonts w:eastAsia="黑体"/>
          <w:bCs/>
          <w:sz w:val="20"/>
        </w:rPr>
        <w:t>moderate</w:t>
      </w:r>
      <w:r>
        <w:rPr>
          <w:rFonts w:eastAsia="黑体"/>
          <w:bCs/>
          <w:sz w:val="20"/>
          <w:lang w:eastAsia="zh-CN"/>
        </w:rPr>
        <w:t xml:space="preserve"> d</w:t>
      </w:r>
      <w:r>
        <w:rPr>
          <w:rFonts w:eastAsia="黑体"/>
          <w:bCs/>
          <w:sz w:val="20"/>
        </w:rPr>
        <w:t>eviation;</w:t>
      </w:r>
      <w:r>
        <w:rPr>
          <w:rFonts w:eastAsia="黑体"/>
          <w:bCs/>
          <w:sz w:val="20"/>
          <w:lang w:eastAsia="zh-CN"/>
        </w:rPr>
        <w:t xml:space="preserve"> m</w:t>
      </w:r>
      <w:r>
        <w:rPr>
          <w:rFonts w:eastAsia="黑体"/>
          <w:bCs/>
          <w:sz w:val="20"/>
        </w:rPr>
        <w:t xml:space="preserve">ore than 10% but </w:t>
      </w:r>
      <w:r>
        <w:rPr>
          <w:rFonts w:eastAsia="黑体"/>
          <w:bCs/>
          <w:sz w:val="20"/>
          <w:lang w:eastAsia="zh-CN"/>
        </w:rPr>
        <w:t>not more than</w:t>
      </w:r>
      <w:r>
        <w:rPr>
          <w:rFonts w:eastAsia="黑体"/>
          <w:bCs/>
          <w:sz w:val="20"/>
        </w:rPr>
        <w:t xml:space="preserve"> 25% is a major deviation;</w:t>
      </w:r>
      <w:r>
        <w:rPr>
          <w:rFonts w:eastAsia="黑体"/>
          <w:bCs/>
          <w:sz w:val="20"/>
          <w:lang w:eastAsia="zh-CN"/>
        </w:rPr>
        <w:t xml:space="preserve"> m</w:t>
      </w:r>
      <w:r>
        <w:rPr>
          <w:rFonts w:eastAsia="黑体"/>
          <w:bCs/>
          <w:sz w:val="20"/>
        </w:rPr>
        <w:t xml:space="preserve">ore than 25% of the unmarked asterisk (*) deviation is </w:t>
      </w:r>
      <w:r>
        <w:rPr>
          <w:rFonts w:eastAsia="黑体"/>
          <w:bCs/>
          <w:sz w:val="20"/>
          <w:lang w:eastAsia="zh-CN"/>
        </w:rPr>
        <w:t>n</w:t>
      </w:r>
      <w:r>
        <w:rPr>
          <w:rFonts w:eastAsia="黑体"/>
          <w:bCs/>
          <w:sz w:val="20"/>
        </w:rPr>
        <w:t>on</w:t>
      </w:r>
      <w:r>
        <w:rPr>
          <w:rFonts w:eastAsia="黑体"/>
          <w:bCs/>
          <w:sz w:val="20"/>
          <w:lang w:eastAsia="zh-CN"/>
        </w:rPr>
        <w:t>-c</w:t>
      </w:r>
      <w:r>
        <w:rPr>
          <w:rFonts w:eastAsia="黑体"/>
          <w:bCs/>
          <w:sz w:val="20"/>
        </w:rPr>
        <w:t>ompliant</w:t>
      </w:r>
      <w:r>
        <w:rPr>
          <w:rFonts w:eastAsia="黑体"/>
          <w:bCs/>
          <w:sz w:val="20"/>
          <w:lang w:eastAsia="zh-CN"/>
        </w:rPr>
        <w:t>.</w:t>
      </w:r>
    </w:p>
    <w:p w14:paraId="1228B482">
      <w:pPr>
        <w:spacing w:line="360" w:lineRule="auto"/>
        <w:ind w:right="106"/>
        <w:rPr>
          <w:rFonts w:eastAsia="黑体"/>
          <w:bCs/>
          <w:sz w:val="20"/>
          <w:lang w:val="en-GB"/>
        </w:rPr>
      </w:pPr>
      <w:r>
        <w:rPr>
          <w:rFonts w:eastAsia="黑体"/>
          <w:bCs/>
          <w:sz w:val="20"/>
        </w:rPr>
        <w:t xml:space="preserve">     </w:t>
      </w:r>
    </w:p>
    <w:p w14:paraId="3EA19D0B">
      <w:pPr>
        <w:spacing w:line="360" w:lineRule="auto"/>
        <w:ind w:right="106"/>
        <w:rPr>
          <w:rFonts w:eastAsia="黑体"/>
          <w:bCs/>
          <w:sz w:val="20"/>
          <w:lang w:val="en-GB"/>
        </w:rPr>
      </w:pPr>
      <w:r>
        <w:rPr>
          <w:rFonts w:eastAsia="黑体"/>
          <w:b/>
          <w:sz w:val="20"/>
          <w:u w:val="single"/>
        </w:rPr>
        <w:t xml:space="preserve">Weight </w:t>
      </w:r>
      <w:r>
        <w:rPr>
          <w:rFonts w:hint="eastAsia" w:eastAsia="黑体"/>
          <w:b/>
          <w:sz w:val="20"/>
          <w:u w:val="single"/>
          <w:lang w:eastAsia="zh-CN"/>
        </w:rPr>
        <w:t>Group</w:t>
      </w:r>
      <w:r>
        <w:rPr>
          <w:rFonts w:eastAsia="黑体"/>
          <w:b/>
          <w:sz w:val="20"/>
          <w:u w:val="single"/>
        </w:rPr>
        <w:t xml:space="preserve"> </w:t>
      </w:r>
      <w:r>
        <w:rPr>
          <w:rFonts w:hint="eastAsia" w:eastAsia="黑体"/>
          <w:b/>
          <w:sz w:val="20"/>
          <w:u w:val="single"/>
          <w:lang w:eastAsia="zh-CN"/>
        </w:rPr>
        <w:t>2</w:t>
      </w:r>
      <w:r>
        <w:rPr>
          <w:rFonts w:eastAsia="黑体"/>
          <w:b/>
          <w:sz w:val="20"/>
          <w:u w:val="single"/>
        </w:rPr>
        <w:t xml:space="preserve"> </w:t>
      </w:r>
      <w:r>
        <w:rPr>
          <w:rFonts w:eastAsia="黑体"/>
          <w:b/>
          <w:sz w:val="20"/>
          <w:u w:val="single"/>
          <w:lang w:eastAsia="zh-CN"/>
        </w:rPr>
        <w:t xml:space="preserve">and </w:t>
      </w:r>
      <w:r>
        <w:rPr>
          <w:rFonts w:eastAsia="黑体"/>
          <w:b/>
          <w:sz w:val="20"/>
          <w:u w:val="single"/>
        </w:rPr>
        <w:t xml:space="preserve">Group </w:t>
      </w:r>
      <w:r>
        <w:rPr>
          <w:rFonts w:eastAsia="黑体"/>
          <w:b/>
          <w:sz w:val="20"/>
          <w:u w:val="single"/>
          <w:lang w:eastAsia="zh-CN"/>
        </w:rPr>
        <w:t>3</w:t>
      </w:r>
      <w:r>
        <w:rPr>
          <w:rFonts w:eastAsia="黑体"/>
          <w:bCs/>
          <w:sz w:val="20"/>
        </w:rPr>
        <w:t xml:space="preserve">: </w:t>
      </w:r>
      <w:r>
        <w:rPr>
          <w:rFonts w:eastAsia="黑体"/>
          <w:bCs/>
          <w:sz w:val="20"/>
          <w:lang w:eastAsia="zh-CN"/>
        </w:rPr>
        <w:t xml:space="preserve">for </w:t>
      </w:r>
      <w:r>
        <w:rPr>
          <w:rFonts w:eastAsia="黑体"/>
          <w:bCs/>
          <w:sz w:val="20"/>
        </w:rPr>
        <w:t xml:space="preserve"> </w:t>
      </w:r>
      <w:r>
        <w:rPr>
          <w:rFonts w:eastAsia="黑体"/>
          <w:bCs/>
          <w:sz w:val="20"/>
          <w:lang w:eastAsia="zh-CN"/>
        </w:rPr>
        <w:t xml:space="preserve">the </w:t>
      </w:r>
      <w:r>
        <w:rPr>
          <w:rFonts w:eastAsia="黑体"/>
          <w:bCs/>
          <w:sz w:val="20"/>
        </w:rPr>
        <w:t>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 if not more than</w:t>
      </w:r>
      <w:r>
        <w:rPr>
          <w:rFonts w:eastAsia="黑体"/>
          <w:bCs/>
          <w:sz w:val="20"/>
        </w:rPr>
        <w:t xml:space="preserve"> </w:t>
      </w:r>
      <w:r>
        <w:rPr>
          <w:rFonts w:eastAsia="黑体"/>
          <w:bCs/>
          <w:sz w:val="20"/>
          <w:lang w:eastAsia="zh-CN"/>
        </w:rPr>
        <w:t>10</w:t>
      </w:r>
      <w:r>
        <w:rPr>
          <w:rFonts w:eastAsia="黑体"/>
          <w:bCs/>
          <w:sz w:val="20"/>
        </w:rPr>
        <w:t xml:space="preserve">% of the </w:t>
      </w:r>
      <w:r>
        <w:rPr>
          <w:rFonts w:eastAsia="黑体"/>
          <w:bCs/>
          <w:sz w:val="20"/>
          <w:lang w:eastAsia="zh-CN"/>
        </w:rPr>
        <w:t xml:space="preserve">above </w:t>
      </w:r>
      <w:r>
        <w:rPr>
          <w:rFonts w:eastAsia="黑体"/>
          <w:bCs/>
          <w:sz w:val="20"/>
        </w:rPr>
        <w:t>parameter</w:t>
      </w:r>
      <w:r>
        <w:rPr>
          <w:rFonts w:eastAsia="黑体"/>
          <w:bCs/>
          <w:sz w:val="20"/>
          <w:lang w:eastAsia="zh-CN"/>
        </w:rPr>
        <w:t xml:space="preserve">s </w:t>
      </w:r>
      <w:r>
        <w:rPr>
          <w:rFonts w:eastAsia="黑体"/>
          <w:bCs/>
          <w:sz w:val="20"/>
        </w:rPr>
        <w:t xml:space="preserve"> do not comply with the </w:t>
      </w:r>
      <w:r>
        <w:rPr>
          <w:rFonts w:eastAsia="黑体"/>
          <w:bCs/>
          <w:sz w:val="20"/>
          <w:lang w:eastAsia="zh-CN"/>
        </w:rPr>
        <w:t xml:space="preserve">parameters specified for the equipment, it belongs to </w:t>
      </w:r>
      <w:r>
        <w:rPr>
          <w:rFonts w:eastAsia="黑体"/>
          <w:bCs/>
          <w:sz w:val="20"/>
        </w:rPr>
        <w:t xml:space="preserve"> </w:t>
      </w:r>
      <w:r>
        <w:rPr>
          <w:rFonts w:eastAsia="黑体"/>
          <w:bCs/>
          <w:sz w:val="20"/>
          <w:lang w:eastAsia="zh-CN"/>
        </w:rPr>
        <w:t>a m</w:t>
      </w:r>
      <w:r>
        <w:rPr>
          <w:rFonts w:eastAsia="黑体"/>
          <w:bCs/>
          <w:sz w:val="20"/>
        </w:rPr>
        <w:t xml:space="preserve">inor </w:t>
      </w:r>
      <w:r>
        <w:rPr>
          <w:rFonts w:eastAsia="黑体"/>
          <w:bCs/>
          <w:sz w:val="20"/>
          <w:lang w:eastAsia="zh-CN"/>
        </w:rPr>
        <w:t>d</w:t>
      </w:r>
      <w:r>
        <w:rPr>
          <w:rFonts w:eastAsia="黑体"/>
          <w:bCs/>
          <w:sz w:val="20"/>
        </w:rPr>
        <w:t>eviation</w:t>
      </w:r>
      <w:r>
        <w:rPr>
          <w:rFonts w:eastAsia="黑体"/>
          <w:bCs/>
          <w:sz w:val="20"/>
          <w:lang w:eastAsia="zh-CN"/>
        </w:rPr>
        <w:t xml:space="preserve">; </w:t>
      </w:r>
      <w:r>
        <w:rPr>
          <w:rFonts w:eastAsia="黑体"/>
          <w:bCs/>
          <w:sz w:val="20"/>
        </w:rPr>
        <w:t xml:space="preserve">more than </w:t>
      </w:r>
      <w:r>
        <w:rPr>
          <w:rFonts w:eastAsia="黑体"/>
          <w:bCs/>
          <w:sz w:val="20"/>
          <w:lang w:eastAsia="zh-CN"/>
        </w:rPr>
        <w:t>10</w:t>
      </w:r>
      <w:r>
        <w:rPr>
          <w:rFonts w:eastAsia="黑体"/>
          <w:bCs/>
          <w:sz w:val="20"/>
        </w:rPr>
        <w:t xml:space="preserve">% but </w:t>
      </w:r>
      <w:r>
        <w:rPr>
          <w:rFonts w:eastAsia="黑体"/>
          <w:bCs/>
          <w:sz w:val="20"/>
          <w:lang w:eastAsia="zh-CN"/>
        </w:rPr>
        <w:t xml:space="preserve">not more </w:t>
      </w:r>
      <w:r>
        <w:rPr>
          <w:rFonts w:eastAsia="黑体"/>
          <w:bCs/>
          <w:sz w:val="20"/>
        </w:rPr>
        <w:t xml:space="preserve"> than </w:t>
      </w:r>
      <w:r>
        <w:rPr>
          <w:rFonts w:eastAsia="黑体"/>
          <w:bCs/>
          <w:sz w:val="20"/>
          <w:lang w:eastAsia="zh-CN"/>
        </w:rPr>
        <w:t>2</w:t>
      </w:r>
      <w:r>
        <w:rPr>
          <w:rFonts w:eastAsia="黑体"/>
          <w:bCs/>
          <w:sz w:val="20"/>
        </w:rPr>
        <w:t xml:space="preserve">0% is </w:t>
      </w:r>
      <w:r>
        <w:rPr>
          <w:rFonts w:eastAsia="黑体"/>
          <w:bCs/>
          <w:sz w:val="20"/>
          <w:lang w:eastAsia="zh-CN"/>
        </w:rPr>
        <w:t xml:space="preserve">a </w:t>
      </w:r>
      <w:r>
        <w:rPr>
          <w:rFonts w:eastAsia="黑体"/>
          <w:bCs/>
          <w:sz w:val="20"/>
        </w:rPr>
        <w:t>moderate</w:t>
      </w:r>
      <w:r>
        <w:rPr>
          <w:rFonts w:eastAsia="黑体"/>
          <w:bCs/>
          <w:sz w:val="20"/>
          <w:lang w:eastAsia="zh-CN"/>
        </w:rPr>
        <w:t xml:space="preserve"> d</w:t>
      </w:r>
      <w:r>
        <w:rPr>
          <w:rFonts w:eastAsia="黑体"/>
          <w:bCs/>
          <w:sz w:val="20"/>
        </w:rPr>
        <w:t>eviation;</w:t>
      </w:r>
      <w:r>
        <w:rPr>
          <w:rFonts w:eastAsia="黑体"/>
          <w:bCs/>
          <w:sz w:val="20"/>
          <w:lang w:eastAsia="zh-CN"/>
        </w:rPr>
        <w:t xml:space="preserve"> m</w:t>
      </w:r>
      <w:r>
        <w:rPr>
          <w:rFonts w:eastAsia="黑体"/>
          <w:bCs/>
          <w:sz w:val="20"/>
        </w:rPr>
        <w:t xml:space="preserve">ore than </w:t>
      </w:r>
      <w:r>
        <w:rPr>
          <w:rFonts w:eastAsia="黑体"/>
          <w:bCs/>
          <w:sz w:val="20"/>
          <w:lang w:eastAsia="zh-CN"/>
        </w:rPr>
        <w:t>2</w:t>
      </w:r>
      <w:r>
        <w:rPr>
          <w:rFonts w:eastAsia="黑体"/>
          <w:bCs/>
          <w:sz w:val="20"/>
        </w:rPr>
        <w:t xml:space="preserve">0% but </w:t>
      </w:r>
      <w:r>
        <w:rPr>
          <w:rFonts w:eastAsia="黑体"/>
          <w:bCs/>
          <w:sz w:val="20"/>
          <w:lang w:eastAsia="zh-CN"/>
        </w:rPr>
        <w:t>not more than</w:t>
      </w:r>
      <w:r>
        <w:rPr>
          <w:rFonts w:eastAsia="黑体"/>
          <w:bCs/>
          <w:sz w:val="20"/>
        </w:rPr>
        <w:t xml:space="preserve"> </w:t>
      </w:r>
      <w:r>
        <w:rPr>
          <w:rFonts w:eastAsia="黑体"/>
          <w:bCs/>
          <w:sz w:val="20"/>
          <w:lang w:eastAsia="zh-CN"/>
        </w:rPr>
        <w:t>30</w:t>
      </w:r>
      <w:r>
        <w:rPr>
          <w:rFonts w:eastAsia="黑体"/>
          <w:bCs/>
          <w:sz w:val="20"/>
        </w:rPr>
        <w:t>% is a major deviation;</w:t>
      </w:r>
      <w:r>
        <w:rPr>
          <w:rFonts w:eastAsia="黑体"/>
          <w:bCs/>
          <w:sz w:val="20"/>
          <w:lang w:eastAsia="zh-CN"/>
        </w:rPr>
        <w:t xml:space="preserve"> m</w:t>
      </w:r>
      <w:r>
        <w:rPr>
          <w:rFonts w:eastAsia="黑体"/>
          <w:bCs/>
          <w:sz w:val="20"/>
        </w:rPr>
        <w:t xml:space="preserve">ore than </w:t>
      </w:r>
      <w:r>
        <w:rPr>
          <w:rFonts w:eastAsia="黑体"/>
          <w:bCs/>
          <w:sz w:val="20"/>
          <w:lang w:eastAsia="zh-CN"/>
        </w:rPr>
        <w:t>30</w:t>
      </w:r>
      <w:r>
        <w:rPr>
          <w:rFonts w:eastAsia="黑体"/>
          <w:bCs/>
          <w:sz w:val="20"/>
        </w:rPr>
        <w:t xml:space="preserve">% of the unmarked asterisk (*) deviation is </w:t>
      </w:r>
      <w:r>
        <w:rPr>
          <w:rFonts w:eastAsia="黑体"/>
          <w:bCs/>
          <w:sz w:val="20"/>
          <w:lang w:eastAsia="zh-CN"/>
        </w:rPr>
        <w:t>n</w:t>
      </w:r>
      <w:r>
        <w:rPr>
          <w:rFonts w:eastAsia="黑体"/>
          <w:bCs/>
          <w:sz w:val="20"/>
        </w:rPr>
        <w:t>on</w:t>
      </w:r>
      <w:r>
        <w:rPr>
          <w:rFonts w:eastAsia="黑体"/>
          <w:bCs/>
          <w:sz w:val="20"/>
          <w:lang w:eastAsia="zh-CN"/>
        </w:rPr>
        <w:t>-c</w:t>
      </w:r>
      <w:r>
        <w:rPr>
          <w:rFonts w:eastAsia="黑体"/>
          <w:bCs/>
          <w:sz w:val="20"/>
        </w:rPr>
        <w:t>ompliant</w:t>
      </w:r>
      <w:r>
        <w:rPr>
          <w:rFonts w:eastAsia="黑体"/>
          <w:bCs/>
          <w:sz w:val="20"/>
          <w:lang w:eastAsia="zh-CN"/>
        </w:rPr>
        <w:t>.</w:t>
      </w:r>
      <w:r>
        <w:rPr>
          <w:rFonts w:eastAsia="黑体"/>
          <w:bCs/>
          <w:sz w:val="20"/>
        </w:rPr>
        <w:t xml:space="preserve"> </w:t>
      </w:r>
    </w:p>
    <w:p w14:paraId="59128337">
      <w:pPr>
        <w:spacing w:line="360" w:lineRule="auto"/>
        <w:ind w:left="1648" w:leftChars="520" w:right="106" w:hanging="400" w:hangingChars="200"/>
        <w:rPr>
          <w:rFonts w:eastAsia="黑体"/>
          <w:bCs/>
          <w:sz w:val="20"/>
          <w:lang w:val="en-GB"/>
        </w:rPr>
      </w:pPr>
    </w:p>
    <w:p w14:paraId="3640B51D">
      <w:pPr>
        <w:numPr>
          <w:ilvl w:val="0"/>
          <w:numId w:val="21"/>
        </w:numPr>
        <w:tabs>
          <w:tab w:val="left" w:pos="-1040"/>
        </w:tabs>
        <w:spacing w:after="200" w:line="360" w:lineRule="auto"/>
        <w:ind w:right="106"/>
        <w:rPr>
          <w:rFonts w:eastAsia="黑体"/>
          <w:bCs/>
          <w:sz w:val="20"/>
          <w:lang w:val="en-GB"/>
        </w:rPr>
      </w:pPr>
      <w:r>
        <w:rPr>
          <w:rFonts w:eastAsia="黑体"/>
          <w:bCs/>
          <w:sz w:val="20"/>
          <w:lang w:val="en-GB"/>
        </w:rPr>
        <w:t>For any</w:t>
      </w:r>
      <w:r>
        <w:rPr>
          <w:rFonts w:eastAsia="黑体"/>
          <w:bCs/>
          <w:sz w:val="20"/>
        </w:rPr>
        <w:t xml:space="preserve"> </w:t>
      </w:r>
      <w:r>
        <w:rPr>
          <w:rFonts w:eastAsia="黑体"/>
          <w:bCs/>
          <w:sz w:val="20"/>
          <w:lang w:val="en-GB"/>
        </w:rPr>
        <w:t xml:space="preserve">bid which fails to secure a weighted score of </w:t>
      </w:r>
      <w:r>
        <w:rPr>
          <w:rFonts w:eastAsia="黑体"/>
          <w:b/>
          <w:sz w:val="20"/>
          <w:u w:val="single"/>
          <w:lang w:eastAsia="zh-CN"/>
        </w:rPr>
        <w:t>45</w:t>
      </w:r>
      <w:r>
        <w:rPr>
          <w:rFonts w:eastAsia="黑体"/>
          <w:b/>
          <w:sz w:val="20"/>
          <w:u w:val="single"/>
          <w:lang w:val="en-GB"/>
        </w:rPr>
        <w:t xml:space="preserve"> and above</w:t>
      </w:r>
      <w:r>
        <w:rPr>
          <w:rFonts w:eastAsia="黑体"/>
          <w:bCs/>
          <w:sz w:val="20"/>
          <w:lang w:val="en-GB"/>
        </w:rPr>
        <w:t xml:space="preserve"> </w:t>
      </w:r>
      <w:r>
        <w:rPr>
          <w:rFonts w:eastAsia="黑体"/>
          <w:bCs/>
          <w:sz w:val="20"/>
        </w:rPr>
        <w:t>in</w:t>
      </w:r>
      <w:r>
        <w:rPr>
          <w:rFonts w:eastAsia="黑体"/>
          <w:bCs/>
          <w:sz w:val="20"/>
          <w:lang w:val="en-GB"/>
        </w:rPr>
        <w:t xml:space="preserve"> Part </w:t>
      </w:r>
      <w:r>
        <w:rPr>
          <w:rFonts w:eastAsia="黑体"/>
          <w:bCs/>
          <w:sz w:val="20"/>
          <w:lang w:eastAsia="zh-CN"/>
        </w:rPr>
        <w:t>A</w:t>
      </w:r>
      <w:r>
        <w:rPr>
          <w:rFonts w:eastAsia="黑体"/>
          <w:bCs/>
          <w:sz w:val="20"/>
          <w:lang w:val="en-GB"/>
        </w:rPr>
        <w:t xml:space="preserve"> </w:t>
      </w:r>
      <w:r>
        <w:rPr>
          <w:rFonts w:eastAsia="黑体"/>
          <w:bCs/>
          <w:sz w:val="20"/>
        </w:rPr>
        <w:t>(</w:t>
      </w:r>
      <w:r>
        <w:rPr>
          <w:rFonts w:eastAsia="黑体"/>
          <w:bCs/>
          <w:sz w:val="20"/>
          <w:lang w:val="en-GB"/>
        </w:rPr>
        <w:t>Technical</w:t>
      </w:r>
      <w:r>
        <w:rPr>
          <w:rFonts w:eastAsia="黑体"/>
          <w:bCs/>
          <w:sz w:val="20"/>
        </w:rPr>
        <w:t xml:space="preserve"> Evaluation)</w:t>
      </w:r>
      <w:r>
        <w:rPr>
          <w:rFonts w:eastAsia="黑体"/>
          <w:bCs/>
          <w:sz w:val="20"/>
          <w:lang w:val="en-GB"/>
        </w:rPr>
        <w:t xml:space="preserve">, the  </w:t>
      </w:r>
      <w:r>
        <w:rPr>
          <w:rFonts w:eastAsia="黑体"/>
          <w:bCs/>
          <w:sz w:val="20"/>
        </w:rPr>
        <w:t>bid</w:t>
      </w:r>
      <w:r>
        <w:rPr>
          <w:rFonts w:eastAsia="黑体"/>
          <w:bCs/>
          <w:sz w:val="20"/>
          <w:lang w:val="en-GB"/>
        </w:rPr>
        <w:t xml:space="preserve"> shall be considered technically disqualified</w:t>
      </w:r>
      <w:r>
        <w:rPr>
          <w:rFonts w:eastAsia="黑体"/>
          <w:bCs/>
          <w:sz w:val="20"/>
        </w:rPr>
        <w:t xml:space="preserve"> and shall be rejected to enter into next evaluation procedure</w:t>
      </w:r>
      <w:r>
        <w:rPr>
          <w:rFonts w:eastAsia="黑体"/>
          <w:bCs/>
          <w:sz w:val="20"/>
          <w:lang w:val="en-GB"/>
        </w:rPr>
        <w:t>.</w:t>
      </w:r>
    </w:p>
    <w:p w14:paraId="6B70F518">
      <w:pPr>
        <w:numPr>
          <w:ilvl w:val="0"/>
          <w:numId w:val="21"/>
        </w:numPr>
        <w:tabs>
          <w:tab w:val="left" w:pos="-1040"/>
        </w:tabs>
        <w:spacing w:after="200" w:line="360" w:lineRule="auto"/>
        <w:ind w:right="106"/>
        <w:rPr>
          <w:rFonts w:eastAsia="黑体"/>
          <w:bCs/>
          <w:sz w:val="20"/>
          <w:lang w:val="en-GB"/>
        </w:rPr>
      </w:pPr>
      <w:r>
        <w:rPr>
          <w:rFonts w:eastAsia="黑体"/>
          <w:bCs/>
          <w:sz w:val="20"/>
          <w:lang w:eastAsia="zh-CN"/>
        </w:rPr>
        <w:t>In the process of Part A (Technical Evaluation)</w:t>
      </w:r>
      <w:r>
        <w:rPr>
          <w:rFonts w:eastAsia="黑体"/>
          <w:bCs/>
          <w:sz w:val="20"/>
          <w:lang w:val="en-GB"/>
        </w:rPr>
        <w:t xml:space="preserve">, for the equipment in Weighting Group 1 and Weighting Group 2, If there be 1 </w:t>
      </w:r>
      <w:r>
        <w:rPr>
          <w:rFonts w:eastAsia="黑体"/>
          <w:bCs/>
          <w:sz w:val="20"/>
          <w:lang w:eastAsia="zh-CN"/>
        </w:rPr>
        <w:t xml:space="preserve">(inclusive) </w:t>
      </w:r>
      <w:r>
        <w:rPr>
          <w:rFonts w:eastAsia="黑体"/>
          <w:bCs/>
          <w:sz w:val="20"/>
          <w:lang w:val="en-GB"/>
        </w:rPr>
        <w:t xml:space="preserve">or more items (NOT cumulative quantity of items) being rated by the </w:t>
      </w:r>
      <w:r>
        <w:rPr>
          <w:rFonts w:eastAsia="黑体"/>
          <w:bCs/>
          <w:sz w:val="20"/>
          <w:lang w:eastAsia="zh-CN"/>
        </w:rPr>
        <w:t>bid</w:t>
      </w:r>
      <w:r>
        <w:rPr>
          <w:rFonts w:eastAsia="黑体"/>
          <w:bCs/>
          <w:sz w:val="20"/>
          <w:lang w:val="en-GB"/>
        </w:rPr>
        <w:t xml:space="preserve"> evaluation committee as showing “</w:t>
      </w:r>
      <w:bookmarkStart w:id="5" w:name="OLE_LINK4"/>
      <w:r>
        <w:rPr>
          <w:rFonts w:eastAsia="黑体"/>
          <w:bCs/>
          <w:sz w:val="20"/>
          <w:lang w:val="en-GB"/>
        </w:rPr>
        <w:t>non-compliance</w:t>
      </w:r>
      <w:bookmarkEnd w:id="5"/>
      <w:r>
        <w:rPr>
          <w:rFonts w:eastAsia="黑体"/>
          <w:bCs/>
          <w:sz w:val="20"/>
          <w:lang w:val="en-GB"/>
        </w:rPr>
        <w:t xml:space="preserve">”, or there be 2 or more items (NOT cumulative quantity of items) being rated by the </w:t>
      </w:r>
      <w:r>
        <w:rPr>
          <w:rFonts w:eastAsia="黑体"/>
          <w:bCs/>
          <w:sz w:val="20"/>
          <w:lang w:eastAsia="zh-CN"/>
        </w:rPr>
        <w:t xml:space="preserve">bid </w:t>
      </w:r>
      <w:r>
        <w:rPr>
          <w:rFonts w:eastAsia="黑体"/>
          <w:bCs/>
          <w:sz w:val="20"/>
          <w:lang w:val="en-GB"/>
        </w:rPr>
        <w:t xml:space="preserve">evaluation committee as showing “Major Deviation”, the entire package shall be considered technically disqualified. </w:t>
      </w:r>
      <w:r>
        <w:rPr>
          <w:rFonts w:eastAsia="黑体"/>
          <w:bCs/>
          <w:sz w:val="20"/>
          <w:lang w:eastAsia="zh-CN"/>
        </w:rPr>
        <w:t xml:space="preserve"> </w:t>
      </w:r>
    </w:p>
    <w:p w14:paraId="71C03BE4">
      <w:pPr>
        <w:numPr>
          <w:ilvl w:val="0"/>
          <w:numId w:val="21"/>
        </w:numPr>
        <w:tabs>
          <w:tab w:val="left" w:pos="-1040"/>
        </w:tabs>
        <w:spacing w:after="200" w:line="360" w:lineRule="auto"/>
        <w:ind w:right="106"/>
        <w:rPr>
          <w:rFonts w:eastAsia="黑体"/>
          <w:bCs/>
          <w:sz w:val="20"/>
          <w:lang w:val="en-GB"/>
        </w:rPr>
      </w:pPr>
      <w:bookmarkStart w:id="6" w:name="OLE_LINK9"/>
      <w:r>
        <w:rPr>
          <w:rFonts w:eastAsia="黑体"/>
          <w:bCs/>
          <w:sz w:val="20"/>
          <w:lang w:eastAsia="zh-CN"/>
        </w:rPr>
        <w:t>In the process of Part A (Technical Evaluation)</w:t>
      </w:r>
      <w:r>
        <w:rPr>
          <w:rFonts w:eastAsia="黑体"/>
          <w:bCs/>
          <w:sz w:val="20"/>
          <w:lang w:val="en-GB"/>
        </w:rPr>
        <w:t xml:space="preserve">, for the equipment in Weighting Group </w:t>
      </w:r>
      <w:r>
        <w:rPr>
          <w:rFonts w:hint="eastAsia" w:eastAsia="黑体"/>
          <w:bCs/>
          <w:sz w:val="20"/>
          <w:lang w:eastAsia="zh-CN"/>
        </w:rPr>
        <w:t>3</w:t>
      </w:r>
      <w:r>
        <w:rPr>
          <w:rFonts w:eastAsia="黑体"/>
          <w:bCs/>
          <w:sz w:val="20"/>
          <w:lang w:val="en-GB"/>
        </w:rPr>
        <w:t>, If there be</w:t>
      </w:r>
      <w:r>
        <w:rPr>
          <w:rFonts w:hint="eastAsia" w:eastAsia="黑体"/>
          <w:bCs/>
          <w:sz w:val="20"/>
          <w:lang w:eastAsia="zh-CN"/>
        </w:rPr>
        <w:t xml:space="preserve"> 5</w:t>
      </w:r>
      <w:r>
        <w:rPr>
          <w:rFonts w:eastAsia="黑体"/>
          <w:bCs/>
          <w:sz w:val="20"/>
          <w:lang w:val="en-GB"/>
        </w:rPr>
        <w:t xml:space="preserve"> </w:t>
      </w:r>
      <w:r>
        <w:rPr>
          <w:rFonts w:eastAsia="黑体"/>
          <w:bCs/>
          <w:sz w:val="20"/>
          <w:lang w:eastAsia="zh-CN"/>
        </w:rPr>
        <w:t xml:space="preserve">(inclusive) </w:t>
      </w:r>
      <w:r>
        <w:rPr>
          <w:rFonts w:eastAsia="黑体"/>
          <w:bCs/>
          <w:sz w:val="20"/>
          <w:lang w:val="en-GB"/>
        </w:rPr>
        <w:t xml:space="preserve">or more items (NOT cumulative quantity of items) being rated by the </w:t>
      </w:r>
      <w:r>
        <w:rPr>
          <w:rFonts w:eastAsia="黑体"/>
          <w:bCs/>
          <w:sz w:val="20"/>
          <w:lang w:eastAsia="zh-CN"/>
        </w:rPr>
        <w:t>bid</w:t>
      </w:r>
      <w:r>
        <w:rPr>
          <w:rFonts w:eastAsia="黑体"/>
          <w:bCs/>
          <w:sz w:val="20"/>
          <w:lang w:val="en-GB"/>
        </w:rPr>
        <w:t xml:space="preserve"> evaluation committee as showing “non-compliance”, the entire package shall be considered technically disqualified. </w:t>
      </w:r>
      <w:bookmarkEnd w:id="6"/>
      <w:r>
        <w:rPr>
          <w:rFonts w:eastAsia="黑体"/>
          <w:bCs/>
          <w:sz w:val="20"/>
          <w:lang w:eastAsia="zh-CN"/>
        </w:rPr>
        <w:t xml:space="preserve"> </w:t>
      </w:r>
    </w:p>
    <w:p w14:paraId="67779892">
      <w:pPr>
        <w:spacing w:line="360" w:lineRule="auto"/>
        <w:rPr>
          <w:rFonts w:eastAsia="黑体"/>
          <w:b/>
          <w:bCs/>
          <w:szCs w:val="24"/>
          <w:u w:val="single"/>
          <w:lang w:val="en-GB"/>
        </w:rPr>
      </w:pPr>
      <w:r>
        <w:rPr>
          <w:rFonts w:eastAsia="黑体"/>
          <w:b/>
          <w:bCs/>
          <w:szCs w:val="24"/>
          <w:u w:val="single"/>
          <w:lang w:val="en-GB"/>
        </w:rPr>
        <w:t>The</w:t>
      </w:r>
      <w:r>
        <w:rPr>
          <w:rFonts w:eastAsia="黑体"/>
          <w:b/>
          <w:bCs/>
          <w:szCs w:val="24"/>
          <w:u w:val="single"/>
        </w:rPr>
        <w:t xml:space="preserve"> features to be evaluated </w:t>
      </w:r>
      <w:r>
        <w:rPr>
          <w:rFonts w:eastAsia="黑体"/>
          <w:b/>
          <w:bCs/>
          <w:szCs w:val="24"/>
          <w:u w:val="single"/>
          <w:lang w:val="en-GB"/>
        </w:rPr>
        <w:t xml:space="preserve">for </w:t>
      </w:r>
      <w:r>
        <w:rPr>
          <w:rFonts w:eastAsia="黑体"/>
          <w:b/>
          <w:bCs/>
          <w:szCs w:val="24"/>
          <w:u w:val="single"/>
        </w:rPr>
        <w:t>technical part</w:t>
      </w:r>
      <w:r>
        <w:rPr>
          <w:rFonts w:eastAsia="黑体"/>
          <w:b/>
          <w:bCs/>
          <w:szCs w:val="24"/>
          <w:u w:val="single"/>
          <w:lang w:val="en-GB"/>
        </w:rPr>
        <w:t xml:space="preserve"> </w:t>
      </w:r>
      <w:r>
        <w:rPr>
          <w:rFonts w:eastAsia="黑体"/>
          <w:b/>
          <w:bCs/>
          <w:szCs w:val="24"/>
          <w:u w:val="single"/>
        </w:rPr>
        <w:t>are generally defined</w:t>
      </w:r>
      <w:r>
        <w:rPr>
          <w:rFonts w:eastAsia="黑体"/>
          <w:b/>
          <w:bCs/>
          <w:szCs w:val="24"/>
          <w:u w:val="single"/>
          <w:lang w:val="en-GB"/>
        </w:rPr>
        <w:t xml:space="preserve"> below:</w:t>
      </w:r>
    </w:p>
    <w:p w14:paraId="722506CE">
      <w:pPr>
        <w:spacing w:after="120" w:afterLines="50" w:line="360" w:lineRule="auto"/>
        <w:rPr>
          <w:sz w:val="20"/>
          <w:lang w:eastAsia="zh-CN"/>
        </w:rPr>
      </w:pPr>
      <w:r>
        <w:rPr>
          <w:sz w:val="20"/>
        </w:rPr>
        <w:t>All items offered by any bidder, MUST comply with all parameters specified in the TSF and terms and conditions specified in the General Technical Conditions and has included all accessories requested in the specifications.</w:t>
      </w:r>
    </w:p>
    <w:p w14:paraId="11831103">
      <w:pPr>
        <w:spacing w:after="120" w:afterLines="50" w:line="360" w:lineRule="auto"/>
        <w:rPr>
          <w:sz w:val="20"/>
          <w:lang w:eastAsia="zh-CN"/>
        </w:rPr>
      </w:pPr>
      <w:r>
        <w:rPr>
          <w:sz w:val="20"/>
          <w:lang w:eastAsia="zh-CN"/>
        </w:rPr>
        <w:t>The principles and definitions of scoring in technical evaluation are illustrated in detail as below:</w:t>
      </w:r>
    </w:p>
    <w:p w14:paraId="6C306373">
      <w:pPr>
        <w:spacing w:after="120" w:afterLines="50" w:line="360" w:lineRule="auto"/>
        <w:ind w:left="142"/>
        <w:jc w:val="left"/>
        <w:rPr>
          <w:b/>
          <w:bCs/>
          <w:sz w:val="20"/>
        </w:rPr>
      </w:pP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8083"/>
      </w:tblGrid>
      <w:tr w14:paraId="1C235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04" w:type="dxa"/>
            <w:tcBorders>
              <w:top w:val="single" w:color="auto" w:sz="4" w:space="0"/>
              <w:left w:val="single" w:color="auto" w:sz="4" w:space="0"/>
              <w:bottom w:val="single" w:color="auto" w:sz="4" w:space="0"/>
              <w:right w:val="single" w:color="auto" w:sz="4" w:space="0"/>
            </w:tcBorders>
          </w:tcPr>
          <w:p w14:paraId="176417EF">
            <w:pPr>
              <w:spacing w:line="360" w:lineRule="auto"/>
              <w:jc w:val="center"/>
              <w:rPr>
                <w:b/>
                <w:bCs/>
                <w:sz w:val="20"/>
              </w:rPr>
            </w:pPr>
            <w:r>
              <w:rPr>
                <w:b/>
                <w:bCs/>
                <w:sz w:val="20"/>
              </w:rPr>
              <w:t>Score</w:t>
            </w:r>
          </w:p>
        </w:tc>
        <w:tc>
          <w:tcPr>
            <w:tcW w:w="8083" w:type="dxa"/>
            <w:tcBorders>
              <w:top w:val="single" w:color="auto" w:sz="4" w:space="0"/>
              <w:left w:val="single" w:color="auto" w:sz="4" w:space="0"/>
              <w:bottom w:val="single" w:color="auto" w:sz="4" w:space="0"/>
              <w:right w:val="single" w:color="auto" w:sz="4" w:space="0"/>
            </w:tcBorders>
          </w:tcPr>
          <w:p w14:paraId="75F6E7B0">
            <w:pPr>
              <w:spacing w:line="360" w:lineRule="auto"/>
              <w:jc w:val="center"/>
              <w:rPr>
                <w:b/>
                <w:bCs/>
                <w:sz w:val="20"/>
              </w:rPr>
            </w:pPr>
            <w:r>
              <w:rPr>
                <w:b/>
                <w:bCs/>
                <w:sz w:val="20"/>
              </w:rPr>
              <w:t>Description of Definitions</w:t>
            </w:r>
          </w:p>
        </w:tc>
      </w:tr>
      <w:tr w14:paraId="7E493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4" w:type="dxa"/>
            <w:tcBorders>
              <w:top w:val="single" w:color="auto" w:sz="4" w:space="0"/>
              <w:left w:val="single" w:color="auto" w:sz="4" w:space="0"/>
              <w:bottom w:val="single" w:color="auto" w:sz="4" w:space="0"/>
              <w:right w:val="single" w:color="auto" w:sz="4" w:space="0"/>
            </w:tcBorders>
          </w:tcPr>
          <w:p w14:paraId="11C70D3D">
            <w:pPr>
              <w:spacing w:line="360" w:lineRule="auto"/>
              <w:jc w:val="center"/>
              <w:rPr>
                <w:sz w:val="20"/>
              </w:rPr>
            </w:pPr>
            <w:r>
              <w:rPr>
                <w:sz w:val="20"/>
              </w:rPr>
              <w:t>Compliant</w:t>
            </w:r>
          </w:p>
          <w:p w14:paraId="1C53968F">
            <w:pPr>
              <w:spacing w:line="360" w:lineRule="auto"/>
              <w:jc w:val="center"/>
              <w:rPr>
                <w:sz w:val="20"/>
              </w:rPr>
            </w:pPr>
          </w:p>
          <w:p w14:paraId="4DC3A4AB">
            <w:pPr>
              <w:spacing w:line="360" w:lineRule="auto"/>
              <w:jc w:val="center"/>
              <w:rPr>
                <w:sz w:val="20"/>
              </w:rPr>
            </w:pPr>
            <w:r>
              <w:rPr>
                <w:sz w:val="20"/>
              </w:rPr>
              <w:t>1</w:t>
            </w:r>
          </w:p>
        </w:tc>
        <w:tc>
          <w:tcPr>
            <w:tcW w:w="8083" w:type="dxa"/>
            <w:tcBorders>
              <w:top w:val="single" w:color="auto" w:sz="4" w:space="0"/>
              <w:left w:val="single" w:color="auto" w:sz="4" w:space="0"/>
              <w:bottom w:val="single" w:color="auto" w:sz="4" w:space="0"/>
              <w:right w:val="single" w:color="auto" w:sz="4" w:space="0"/>
            </w:tcBorders>
          </w:tcPr>
          <w:p w14:paraId="0BB426CE">
            <w:pPr>
              <w:adjustRightInd w:val="0"/>
              <w:snapToGrid w:val="0"/>
              <w:spacing w:line="360" w:lineRule="auto"/>
              <w:jc w:val="left"/>
              <w:rPr>
                <w:sz w:val="20"/>
              </w:rPr>
            </w:pPr>
            <w:r>
              <w:rPr>
                <w:sz w:val="20"/>
              </w:rPr>
              <w:t xml:space="preserve">Item offered </w:t>
            </w:r>
            <w:r>
              <w:rPr>
                <w:b/>
                <w:bCs/>
                <w:sz w:val="20"/>
              </w:rPr>
              <w:t xml:space="preserve">meets all requirements </w:t>
            </w:r>
            <w:bookmarkStart w:id="7" w:name="OLE_LINK3"/>
            <w:r>
              <w:rPr>
                <w:sz w:val="20"/>
              </w:rPr>
              <w:t xml:space="preserve">in the Technical Specifications Form (TSF) and conditions specified in the General Technical Conditions and has </w:t>
            </w:r>
            <w:r>
              <w:rPr>
                <w:b/>
                <w:bCs/>
                <w:sz w:val="20"/>
              </w:rPr>
              <w:t>included all accessories</w:t>
            </w:r>
            <w:r>
              <w:rPr>
                <w:sz w:val="20"/>
              </w:rPr>
              <w:t xml:space="preserve"> requested in the specifications.</w:t>
            </w:r>
            <w:bookmarkEnd w:id="7"/>
          </w:p>
          <w:p w14:paraId="19416EED">
            <w:pPr>
              <w:adjustRightInd w:val="0"/>
              <w:snapToGrid w:val="0"/>
              <w:spacing w:line="360" w:lineRule="auto"/>
              <w:jc w:val="left"/>
              <w:rPr>
                <w:sz w:val="20"/>
                <w:lang w:val="en-GB"/>
              </w:rPr>
            </w:pPr>
            <w:r>
              <w:rPr>
                <w:sz w:val="20"/>
              </w:rPr>
              <w:t>And all product supply configuration and components described in the Scope of Supply form are in line with which they have described in the Technical Specifications Form.</w:t>
            </w:r>
          </w:p>
        </w:tc>
      </w:tr>
      <w:tr w14:paraId="14392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4" w:type="dxa"/>
            <w:tcBorders>
              <w:top w:val="single" w:color="auto" w:sz="4" w:space="0"/>
              <w:left w:val="single" w:color="auto" w:sz="4" w:space="0"/>
              <w:bottom w:val="single" w:color="auto" w:sz="4" w:space="0"/>
              <w:right w:val="single" w:color="auto" w:sz="4" w:space="0"/>
            </w:tcBorders>
          </w:tcPr>
          <w:p w14:paraId="5996E45D">
            <w:pPr>
              <w:spacing w:line="360" w:lineRule="auto"/>
              <w:jc w:val="center"/>
              <w:rPr>
                <w:sz w:val="20"/>
              </w:rPr>
            </w:pPr>
            <w:bookmarkStart w:id="8" w:name="OLE_LINK2"/>
            <w:r>
              <w:rPr>
                <w:sz w:val="20"/>
              </w:rPr>
              <w:t>Minor Deviation</w:t>
            </w:r>
          </w:p>
          <w:bookmarkEnd w:id="8"/>
          <w:p w14:paraId="0CC3B4B5">
            <w:pPr>
              <w:spacing w:line="360" w:lineRule="auto"/>
              <w:jc w:val="center"/>
              <w:rPr>
                <w:sz w:val="20"/>
              </w:rPr>
            </w:pPr>
          </w:p>
          <w:p w14:paraId="4AF82CF7">
            <w:pPr>
              <w:spacing w:line="360" w:lineRule="auto"/>
              <w:jc w:val="center"/>
              <w:rPr>
                <w:sz w:val="20"/>
              </w:rPr>
            </w:pPr>
            <w:r>
              <w:rPr>
                <w:sz w:val="20"/>
              </w:rPr>
              <w:t>0.75</w:t>
            </w:r>
          </w:p>
        </w:tc>
        <w:tc>
          <w:tcPr>
            <w:tcW w:w="8083" w:type="dxa"/>
            <w:tcBorders>
              <w:top w:val="single" w:color="auto" w:sz="4" w:space="0"/>
              <w:left w:val="single" w:color="auto" w:sz="4" w:space="0"/>
              <w:bottom w:val="single" w:color="auto" w:sz="4" w:space="0"/>
              <w:right w:val="single" w:color="auto" w:sz="4" w:space="0"/>
            </w:tcBorders>
          </w:tcPr>
          <w:p w14:paraId="027C87DA">
            <w:pPr>
              <w:adjustRightInd w:val="0"/>
              <w:snapToGrid w:val="0"/>
              <w:spacing w:line="360" w:lineRule="auto"/>
              <w:jc w:val="left"/>
              <w:rPr>
                <w:sz w:val="20"/>
              </w:rPr>
            </w:pPr>
            <w:r>
              <w:rPr>
                <w:rFonts w:hint="eastAsia"/>
                <w:sz w:val="20"/>
                <w:lang w:val="en-US" w:eastAsia="zh-CN"/>
              </w:rPr>
              <w:t>1</w:t>
            </w:r>
            <w:r>
              <w:rPr>
                <w:sz w:val="20"/>
              </w:rPr>
              <w:t xml:space="preserve">) </w:t>
            </w:r>
            <w:r>
              <w:rPr>
                <w:rFonts w:eastAsia="黑体"/>
                <w:b/>
                <w:sz w:val="20"/>
                <w:u w:val="single"/>
              </w:rPr>
              <w:t>Weight Group 1</w:t>
            </w:r>
            <w:r>
              <w:rPr>
                <w:rFonts w:eastAsia="黑体"/>
                <w:bCs/>
                <w:sz w:val="20"/>
              </w:rPr>
              <w:t xml:space="preserve">: </w:t>
            </w:r>
            <w:r>
              <w:rPr>
                <w:rFonts w:eastAsia="黑体"/>
                <w:bCs/>
                <w:sz w:val="20"/>
                <w:lang w:eastAsia="zh-CN"/>
              </w:rPr>
              <w:t>not more than</w:t>
            </w:r>
            <w:r>
              <w:rPr>
                <w:rFonts w:eastAsia="黑体"/>
                <w:bCs/>
                <w:sz w:val="20"/>
              </w:rPr>
              <w:t xml:space="preserve"> </w:t>
            </w:r>
            <w:r>
              <w:rPr>
                <w:rFonts w:eastAsia="黑体"/>
                <w:bCs/>
                <w:sz w:val="20"/>
                <w:lang w:eastAsia="zh-CN"/>
              </w:rPr>
              <w:t>5</w:t>
            </w:r>
            <w:r>
              <w:rPr>
                <w:rFonts w:eastAsia="黑体"/>
                <w:bCs/>
                <w:sz w:val="20"/>
              </w:rPr>
              <w:t>% 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7E745FC7">
            <w:pPr>
              <w:adjustRightInd w:val="0"/>
              <w:snapToGrid w:val="0"/>
              <w:spacing w:line="360" w:lineRule="auto"/>
              <w:jc w:val="left"/>
              <w:rPr>
                <w:sz w:val="20"/>
              </w:rPr>
            </w:pPr>
            <w:r>
              <w:rPr>
                <w:sz w:val="20"/>
              </w:rPr>
              <w:t>(a) To comply with technical parameters specified in TSF</w:t>
            </w:r>
          </w:p>
          <w:p w14:paraId="518B4E3B">
            <w:pPr>
              <w:adjustRightInd w:val="0"/>
              <w:snapToGrid w:val="0"/>
              <w:spacing w:line="360" w:lineRule="auto"/>
              <w:jc w:val="left"/>
              <w:rPr>
                <w:sz w:val="20"/>
              </w:rPr>
            </w:pPr>
            <w:r>
              <w:rPr>
                <w:sz w:val="20"/>
              </w:rPr>
              <w:t>(b) To furnish a clause-by-clause commentary as specified in the relevant clauses of the General Technical Conditions.</w:t>
            </w:r>
          </w:p>
          <w:p w14:paraId="6844FE6E">
            <w:pPr>
              <w:adjustRightInd w:val="0"/>
              <w:snapToGrid w:val="0"/>
              <w:spacing w:line="360" w:lineRule="auto"/>
              <w:jc w:val="left"/>
              <w:rPr>
                <w:sz w:val="20"/>
              </w:rPr>
            </w:pPr>
          </w:p>
          <w:p w14:paraId="39E1A95D">
            <w:pPr>
              <w:adjustRightInd w:val="0"/>
              <w:snapToGrid w:val="0"/>
              <w:spacing w:line="360" w:lineRule="auto"/>
              <w:jc w:val="left"/>
            </w:pPr>
            <w:r>
              <w:rPr>
                <w:rFonts w:hint="eastAsia"/>
                <w:sz w:val="20"/>
                <w:lang w:val="en-US" w:eastAsia="zh-CN"/>
              </w:rPr>
              <w:t>2</w:t>
            </w:r>
            <w:r>
              <w:rPr>
                <w:sz w:val="20"/>
              </w:rPr>
              <w:t xml:space="preserve">) </w:t>
            </w:r>
            <w:r>
              <w:rPr>
                <w:rFonts w:eastAsia="黑体"/>
                <w:b/>
                <w:sz w:val="20"/>
                <w:u w:val="single"/>
              </w:rPr>
              <w:t>Weight Group 2 and Group</w:t>
            </w:r>
            <w:r>
              <w:rPr>
                <w:rFonts w:eastAsia="黑体"/>
                <w:b/>
                <w:sz w:val="20"/>
                <w:u w:val="single"/>
                <w:lang w:eastAsia="zh-CN"/>
              </w:rPr>
              <w:t xml:space="preserve"> 3</w:t>
            </w:r>
            <w:r>
              <w:rPr>
                <w:rFonts w:eastAsia="黑体"/>
                <w:bCs/>
                <w:sz w:val="20"/>
              </w:rPr>
              <w:t xml:space="preserve">: </w:t>
            </w:r>
            <w:r>
              <w:rPr>
                <w:rFonts w:eastAsia="黑体"/>
                <w:bCs/>
                <w:sz w:val="20"/>
                <w:lang w:eastAsia="zh-CN"/>
              </w:rPr>
              <w:t>not more than</w:t>
            </w:r>
            <w:r>
              <w:rPr>
                <w:rFonts w:eastAsia="黑体"/>
                <w:bCs/>
                <w:sz w:val="20"/>
              </w:rPr>
              <w:t xml:space="preserve"> </w:t>
            </w:r>
            <w:r>
              <w:rPr>
                <w:rFonts w:eastAsia="黑体"/>
                <w:bCs/>
                <w:sz w:val="20"/>
                <w:lang w:eastAsia="zh-CN"/>
              </w:rPr>
              <w:t>10</w:t>
            </w:r>
            <w:r>
              <w:rPr>
                <w:rFonts w:eastAsia="黑体"/>
                <w:bCs/>
                <w:sz w:val="20"/>
              </w:rPr>
              <w:t>% 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212B21BD">
            <w:pPr>
              <w:adjustRightInd w:val="0"/>
              <w:snapToGrid w:val="0"/>
              <w:spacing w:line="360" w:lineRule="auto"/>
              <w:jc w:val="left"/>
              <w:rPr>
                <w:sz w:val="20"/>
              </w:rPr>
            </w:pPr>
            <w:r>
              <w:rPr>
                <w:sz w:val="20"/>
              </w:rPr>
              <w:t>(a) To comply with technical parameters specified in TSF</w:t>
            </w:r>
          </w:p>
          <w:p w14:paraId="0EBA180B">
            <w:pPr>
              <w:adjustRightInd w:val="0"/>
              <w:snapToGrid w:val="0"/>
              <w:spacing w:line="360" w:lineRule="auto"/>
              <w:jc w:val="left"/>
              <w:rPr>
                <w:sz w:val="20"/>
              </w:rPr>
            </w:pPr>
            <w:r>
              <w:rPr>
                <w:sz w:val="20"/>
              </w:rPr>
              <w:t>(b) To furnish a clause-by-clause commentary as specified in the relevant clauses of the General Technical Conditions.</w:t>
            </w:r>
          </w:p>
        </w:tc>
      </w:tr>
      <w:tr w14:paraId="5AE09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4" w:type="dxa"/>
            <w:tcBorders>
              <w:top w:val="single" w:color="auto" w:sz="4" w:space="0"/>
              <w:left w:val="single" w:color="auto" w:sz="4" w:space="0"/>
              <w:bottom w:val="single" w:color="auto" w:sz="4" w:space="0"/>
              <w:right w:val="single" w:color="auto" w:sz="4" w:space="0"/>
            </w:tcBorders>
          </w:tcPr>
          <w:p w14:paraId="6F0C41D9">
            <w:pPr>
              <w:adjustRightInd w:val="0"/>
              <w:snapToGrid w:val="0"/>
              <w:spacing w:line="360" w:lineRule="auto"/>
              <w:jc w:val="center"/>
              <w:rPr>
                <w:sz w:val="20"/>
              </w:rPr>
            </w:pPr>
            <w:r>
              <w:rPr>
                <w:sz w:val="20"/>
                <w:lang w:eastAsia="zh-CN"/>
              </w:rPr>
              <w:t xml:space="preserve">Moderate </w:t>
            </w:r>
            <w:r>
              <w:rPr>
                <w:sz w:val="20"/>
              </w:rPr>
              <w:t>Deviation</w:t>
            </w:r>
          </w:p>
          <w:p w14:paraId="44470BDB">
            <w:pPr>
              <w:adjustRightInd w:val="0"/>
              <w:snapToGrid w:val="0"/>
              <w:spacing w:line="360" w:lineRule="auto"/>
              <w:jc w:val="center"/>
              <w:rPr>
                <w:sz w:val="20"/>
              </w:rPr>
            </w:pPr>
          </w:p>
          <w:p w14:paraId="749EAB4B">
            <w:pPr>
              <w:spacing w:line="360" w:lineRule="auto"/>
              <w:jc w:val="center"/>
              <w:rPr>
                <w:sz w:val="20"/>
                <w:lang w:eastAsia="zh-CN"/>
              </w:rPr>
            </w:pPr>
            <w:r>
              <w:rPr>
                <w:sz w:val="20"/>
              </w:rPr>
              <w:t>0.</w:t>
            </w:r>
            <w:r>
              <w:rPr>
                <w:sz w:val="20"/>
                <w:lang w:eastAsia="zh-CN"/>
              </w:rPr>
              <w:t>5</w:t>
            </w:r>
          </w:p>
        </w:tc>
        <w:tc>
          <w:tcPr>
            <w:tcW w:w="8083" w:type="dxa"/>
            <w:tcBorders>
              <w:top w:val="single" w:color="auto" w:sz="4" w:space="0"/>
              <w:left w:val="single" w:color="auto" w:sz="4" w:space="0"/>
              <w:bottom w:val="single" w:color="auto" w:sz="4" w:space="0"/>
              <w:right w:val="single" w:color="auto" w:sz="4" w:space="0"/>
            </w:tcBorders>
          </w:tcPr>
          <w:p w14:paraId="061E5B2E">
            <w:pPr>
              <w:spacing w:line="360" w:lineRule="auto"/>
            </w:pPr>
            <w:bookmarkStart w:id="9" w:name="OLE_LINK6"/>
            <w:r>
              <w:rPr>
                <w:sz w:val="20"/>
                <w:lang w:eastAsia="zh-CN"/>
              </w:rPr>
              <w:t>1</w:t>
            </w:r>
            <w:r>
              <w:rPr>
                <w:sz w:val="20"/>
              </w:rPr>
              <w:t xml:space="preserve">) </w:t>
            </w:r>
            <w:r>
              <w:rPr>
                <w:rFonts w:eastAsia="黑体"/>
                <w:b/>
                <w:sz w:val="20"/>
                <w:u w:val="single"/>
              </w:rPr>
              <w:t>Weight Group 1</w:t>
            </w:r>
            <w:r>
              <w:rPr>
                <w:rFonts w:eastAsia="黑体"/>
                <w:b/>
                <w:sz w:val="20"/>
                <w:u w:val="single"/>
                <w:lang w:eastAsia="zh-CN"/>
              </w:rPr>
              <w:t xml:space="preserve"> </w:t>
            </w:r>
            <w:r>
              <w:rPr>
                <w:rFonts w:eastAsia="黑体"/>
                <w:bCs/>
                <w:sz w:val="20"/>
              </w:rPr>
              <w:t xml:space="preserve">: </w:t>
            </w:r>
            <w:r>
              <w:rPr>
                <w:rFonts w:eastAsia="黑体"/>
                <w:bCs/>
                <w:sz w:val="20"/>
                <w:lang w:eastAsia="zh-CN"/>
              </w:rPr>
              <w:t>more than</w:t>
            </w:r>
            <w:r>
              <w:rPr>
                <w:rFonts w:eastAsia="黑体"/>
                <w:bCs/>
                <w:sz w:val="20"/>
              </w:rPr>
              <w:t xml:space="preserve"> </w:t>
            </w:r>
            <w:r>
              <w:rPr>
                <w:rFonts w:eastAsia="黑体"/>
                <w:bCs/>
                <w:sz w:val="20"/>
                <w:lang w:eastAsia="zh-CN"/>
              </w:rPr>
              <w:t>5</w:t>
            </w:r>
            <w:r>
              <w:rPr>
                <w:rFonts w:eastAsia="黑体"/>
                <w:bCs/>
                <w:sz w:val="20"/>
              </w:rPr>
              <w:t xml:space="preserve">% </w:t>
            </w:r>
            <w:r>
              <w:rPr>
                <w:rFonts w:eastAsia="黑体"/>
                <w:bCs/>
                <w:sz w:val="20"/>
                <w:lang w:eastAsia="zh-CN"/>
              </w:rPr>
              <w:t xml:space="preserve">but not more than 10% </w:t>
            </w:r>
            <w:r>
              <w:rPr>
                <w:rFonts w:eastAsia="黑体"/>
                <w:bCs/>
                <w:sz w:val="20"/>
              </w:rPr>
              <w:t>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559C9BCC">
            <w:pPr>
              <w:spacing w:line="360" w:lineRule="auto"/>
              <w:jc w:val="left"/>
              <w:rPr>
                <w:sz w:val="20"/>
              </w:rPr>
            </w:pPr>
            <w:r>
              <w:rPr>
                <w:sz w:val="20"/>
              </w:rPr>
              <w:t>(a) To comply with technical parameters specified in TSF</w:t>
            </w:r>
          </w:p>
          <w:p w14:paraId="7411C1C4">
            <w:pPr>
              <w:spacing w:line="360" w:lineRule="auto"/>
              <w:jc w:val="left"/>
              <w:rPr>
                <w:sz w:val="20"/>
              </w:rPr>
            </w:pPr>
            <w:r>
              <w:rPr>
                <w:sz w:val="20"/>
              </w:rPr>
              <w:t>(b) To furnish a clause-by-clause commentary as specified in the relevant clauses of the General Technical Conditions.</w:t>
            </w:r>
          </w:p>
          <w:p w14:paraId="6843622E">
            <w:pPr>
              <w:spacing w:line="360" w:lineRule="auto"/>
              <w:jc w:val="left"/>
              <w:rPr>
                <w:sz w:val="20"/>
              </w:rPr>
            </w:pPr>
          </w:p>
          <w:p w14:paraId="7C1A60CA">
            <w:pPr>
              <w:spacing w:line="360" w:lineRule="auto"/>
              <w:jc w:val="left"/>
            </w:pPr>
            <w:r>
              <w:rPr>
                <w:sz w:val="20"/>
                <w:lang w:eastAsia="zh-CN"/>
              </w:rPr>
              <w:t>2</w:t>
            </w:r>
            <w:r>
              <w:rPr>
                <w:sz w:val="20"/>
              </w:rPr>
              <w:t xml:space="preserve">) </w:t>
            </w:r>
            <w:r>
              <w:rPr>
                <w:rFonts w:eastAsia="黑体"/>
                <w:b/>
                <w:sz w:val="20"/>
                <w:u w:val="single"/>
              </w:rPr>
              <w:t>Weight Group 2 and Group</w:t>
            </w:r>
            <w:r>
              <w:rPr>
                <w:rFonts w:eastAsia="黑体"/>
                <w:b/>
                <w:sz w:val="20"/>
                <w:u w:val="single"/>
                <w:lang w:eastAsia="zh-CN"/>
              </w:rPr>
              <w:t xml:space="preserve"> 3</w:t>
            </w:r>
            <w:r>
              <w:rPr>
                <w:rFonts w:eastAsia="黑体"/>
                <w:bCs/>
                <w:sz w:val="20"/>
              </w:rPr>
              <w:t xml:space="preserve">: </w:t>
            </w:r>
            <w:r>
              <w:rPr>
                <w:rFonts w:eastAsia="黑体"/>
                <w:bCs/>
                <w:sz w:val="20"/>
                <w:lang w:eastAsia="zh-CN"/>
              </w:rPr>
              <w:t xml:space="preserve"> more than</w:t>
            </w:r>
            <w:r>
              <w:rPr>
                <w:rFonts w:eastAsia="黑体"/>
                <w:bCs/>
                <w:sz w:val="20"/>
              </w:rPr>
              <w:t xml:space="preserve"> </w:t>
            </w:r>
            <w:r>
              <w:rPr>
                <w:rFonts w:eastAsia="黑体"/>
                <w:bCs/>
                <w:sz w:val="20"/>
                <w:lang w:eastAsia="zh-CN"/>
              </w:rPr>
              <w:t>10</w:t>
            </w:r>
            <w:r>
              <w:rPr>
                <w:rFonts w:eastAsia="黑体"/>
                <w:bCs/>
                <w:sz w:val="20"/>
              </w:rPr>
              <w:t xml:space="preserve">% </w:t>
            </w:r>
            <w:r>
              <w:rPr>
                <w:rFonts w:eastAsia="黑体"/>
                <w:bCs/>
                <w:sz w:val="20"/>
                <w:lang w:eastAsia="zh-CN"/>
              </w:rPr>
              <w:t xml:space="preserve">but not more than 20% </w:t>
            </w:r>
            <w:r>
              <w:rPr>
                <w:rFonts w:eastAsia="黑体"/>
                <w:bCs/>
                <w:sz w:val="20"/>
              </w:rPr>
              <w:t>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1B001CAC">
            <w:pPr>
              <w:spacing w:line="360" w:lineRule="auto"/>
              <w:jc w:val="left"/>
              <w:rPr>
                <w:sz w:val="20"/>
              </w:rPr>
            </w:pPr>
            <w:r>
              <w:rPr>
                <w:sz w:val="20"/>
              </w:rPr>
              <w:t>(a) To comply with technical parameters specified in TSF</w:t>
            </w:r>
          </w:p>
          <w:p w14:paraId="6E58AC8D">
            <w:pPr>
              <w:autoSpaceDE w:val="0"/>
              <w:autoSpaceDN w:val="0"/>
              <w:adjustRightInd w:val="0"/>
              <w:snapToGrid w:val="0"/>
              <w:spacing w:line="360" w:lineRule="auto"/>
              <w:rPr>
                <w:sz w:val="20"/>
              </w:rPr>
            </w:pPr>
            <w:r>
              <w:rPr>
                <w:sz w:val="20"/>
              </w:rPr>
              <w:t>(b) To furnish a clause-by-clause commentary as specified in the relevant clauses of the General Technical Conditions.</w:t>
            </w:r>
            <w:bookmarkEnd w:id="9"/>
          </w:p>
        </w:tc>
      </w:tr>
      <w:tr w14:paraId="7E44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4" w:type="dxa"/>
            <w:tcBorders>
              <w:top w:val="single" w:color="auto" w:sz="4" w:space="0"/>
              <w:left w:val="single" w:color="auto" w:sz="4" w:space="0"/>
              <w:bottom w:val="single" w:color="auto" w:sz="4" w:space="0"/>
              <w:right w:val="single" w:color="auto" w:sz="4" w:space="0"/>
            </w:tcBorders>
          </w:tcPr>
          <w:p w14:paraId="74B3DF8C">
            <w:pPr>
              <w:adjustRightInd w:val="0"/>
              <w:snapToGrid w:val="0"/>
              <w:spacing w:line="360" w:lineRule="auto"/>
              <w:jc w:val="center"/>
              <w:rPr>
                <w:sz w:val="20"/>
              </w:rPr>
            </w:pPr>
            <w:bookmarkStart w:id="10" w:name="OLE_LINK5"/>
            <w:r>
              <w:rPr>
                <w:sz w:val="20"/>
              </w:rPr>
              <w:t>Major Deviation</w:t>
            </w:r>
          </w:p>
          <w:p w14:paraId="3393FAFE">
            <w:pPr>
              <w:adjustRightInd w:val="0"/>
              <w:snapToGrid w:val="0"/>
              <w:spacing w:line="360" w:lineRule="auto"/>
              <w:jc w:val="center"/>
              <w:rPr>
                <w:sz w:val="20"/>
              </w:rPr>
            </w:pPr>
          </w:p>
          <w:p w14:paraId="4F10A2F0">
            <w:pPr>
              <w:adjustRightInd w:val="0"/>
              <w:snapToGrid w:val="0"/>
              <w:spacing w:line="360" w:lineRule="auto"/>
              <w:jc w:val="center"/>
              <w:rPr>
                <w:sz w:val="20"/>
              </w:rPr>
            </w:pPr>
            <w:r>
              <w:rPr>
                <w:sz w:val="20"/>
              </w:rPr>
              <w:t>0.25</w:t>
            </w:r>
            <w:bookmarkEnd w:id="10"/>
          </w:p>
        </w:tc>
        <w:tc>
          <w:tcPr>
            <w:tcW w:w="8083" w:type="dxa"/>
            <w:tcBorders>
              <w:top w:val="single" w:color="auto" w:sz="4" w:space="0"/>
              <w:left w:val="single" w:color="auto" w:sz="4" w:space="0"/>
              <w:bottom w:val="single" w:color="auto" w:sz="4" w:space="0"/>
              <w:right w:val="single" w:color="auto" w:sz="4" w:space="0"/>
            </w:tcBorders>
          </w:tcPr>
          <w:p w14:paraId="01DC726B">
            <w:pPr>
              <w:spacing w:line="360" w:lineRule="auto"/>
              <w:jc w:val="left"/>
              <w:rPr>
                <w:sz w:val="20"/>
                <w:lang w:val="en-GB"/>
              </w:rPr>
            </w:pPr>
            <w:r>
              <w:rPr>
                <w:sz w:val="20"/>
                <w:lang w:eastAsia="zh-CN"/>
              </w:rPr>
              <w:t xml:space="preserve">An </w:t>
            </w:r>
            <w:r>
              <w:rPr>
                <w:sz w:val="20"/>
              </w:rPr>
              <w:t xml:space="preserve">Item which does not include </w:t>
            </w:r>
            <w:r>
              <w:rPr>
                <w:b/>
                <w:bCs/>
                <w:sz w:val="20"/>
              </w:rPr>
              <w:t>ANY</w:t>
            </w:r>
            <w:r>
              <w:rPr>
                <w:sz w:val="20"/>
              </w:rPr>
              <w:t xml:space="preserve"> of the following documents</w:t>
            </w:r>
            <w:r>
              <w:rPr>
                <w:b/>
                <w:bCs/>
                <w:sz w:val="20"/>
              </w:rPr>
              <w:t xml:space="preserve"> </w:t>
            </w:r>
            <w:r>
              <w:rPr>
                <w:b/>
                <w:bCs/>
                <w:sz w:val="20"/>
                <w:lang w:eastAsia="zh-CN"/>
              </w:rPr>
              <w:t>BOTH</w:t>
            </w:r>
            <w:r>
              <w:rPr>
                <w:sz w:val="20"/>
              </w:rPr>
              <w:t xml:space="preserve"> in English or Chinese</w:t>
            </w:r>
            <w:r>
              <w:rPr>
                <w:sz w:val="20"/>
                <w:lang w:eastAsia="zh-CN"/>
              </w:rPr>
              <w:t xml:space="preserve"> will be regarded as major deviation</w:t>
            </w:r>
            <w:r>
              <w:rPr>
                <w:sz w:val="20"/>
              </w:rPr>
              <w:t>:</w:t>
            </w:r>
          </w:p>
          <w:p w14:paraId="581323E0">
            <w:pPr>
              <w:spacing w:line="360" w:lineRule="auto"/>
            </w:pPr>
            <w:r>
              <w:rPr>
                <w:sz w:val="20"/>
              </w:rPr>
              <w:t>(a) Product catalogue, technical data sheet and technical documentation from the manufacturers.</w:t>
            </w:r>
          </w:p>
          <w:p w14:paraId="6F0932F3">
            <w:pPr>
              <w:spacing w:line="360" w:lineRule="auto"/>
              <w:jc w:val="left"/>
              <w:rPr>
                <w:sz w:val="20"/>
              </w:rPr>
            </w:pPr>
            <w:r>
              <w:rPr>
                <w:sz w:val="20"/>
              </w:rPr>
              <w:t>(b) Scope of Supply Form</w:t>
            </w:r>
          </w:p>
          <w:p w14:paraId="7704BEB7">
            <w:pPr>
              <w:spacing w:line="360" w:lineRule="auto"/>
              <w:jc w:val="left"/>
              <w:rPr>
                <w:sz w:val="20"/>
              </w:rPr>
            </w:pPr>
          </w:p>
          <w:p w14:paraId="1857044B">
            <w:pPr>
              <w:spacing w:line="360" w:lineRule="auto"/>
            </w:pPr>
            <w:r>
              <w:rPr>
                <w:sz w:val="20"/>
              </w:rPr>
              <w:t xml:space="preserve">2) </w:t>
            </w:r>
            <w:r>
              <w:rPr>
                <w:rFonts w:eastAsia="黑体"/>
                <w:b/>
                <w:sz w:val="20"/>
                <w:u w:val="single"/>
              </w:rPr>
              <w:t>Weight Group 1</w:t>
            </w:r>
            <w:r>
              <w:rPr>
                <w:rFonts w:eastAsia="黑体"/>
                <w:b/>
                <w:sz w:val="20"/>
                <w:u w:val="single"/>
                <w:lang w:eastAsia="zh-CN"/>
              </w:rPr>
              <w:t xml:space="preserve"> </w:t>
            </w:r>
            <w:r>
              <w:rPr>
                <w:rFonts w:eastAsia="黑体"/>
                <w:bCs/>
                <w:sz w:val="20"/>
              </w:rPr>
              <w:t xml:space="preserve">: </w:t>
            </w:r>
            <w:r>
              <w:rPr>
                <w:rFonts w:eastAsia="黑体"/>
                <w:bCs/>
                <w:sz w:val="20"/>
                <w:lang w:eastAsia="zh-CN"/>
              </w:rPr>
              <w:t>more than</w:t>
            </w:r>
            <w:r>
              <w:rPr>
                <w:rFonts w:eastAsia="黑体"/>
                <w:bCs/>
                <w:sz w:val="20"/>
              </w:rPr>
              <w:t xml:space="preserve"> </w:t>
            </w:r>
            <w:r>
              <w:rPr>
                <w:rFonts w:eastAsia="黑体"/>
                <w:bCs/>
                <w:sz w:val="20"/>
                <w:lang w:eastAsia="zh-CN"/>
              </w:rPr>
              <w:t>10</w:t>
            </w:r>
            <w:r>
              <w:rPr>
                <w:rFonts w:eastAsia="黑体"/>
                <w:bCs/>
                <w:sz w:val="20"/>
              </w:rPr>
              <w:t xml:space="preserve">% </w:t>
            </w:r>
            <w:r>
              <w:rPr>
                <w:rFonts w:eastAsia="黑体"/>
                <w:bCs/>
                <w:sz w:val="20"/>
                <w:lang w:eastAsia="zh-CN"/>
              </w:rPr>
              <w:t xml:space="preserve">but not more than 25% </w:t>
            </w:r>
            <w:r>
              <w:rPr>
                <w:rFonts w:eastAsia="黑体"/>
                <w:bCs/>
                <w:sz w:val="20"/>
              </w:rPr>
              <w:t>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6ED2F219">
            <w:pPr>
              <w:spacing w:line="360" w:lineRule="auto"/>
              <w:jc w:val="left"/>
              <w:rPr>
                <w:sz w:val="20"/>
              </w:rPr>
            </w:pPr>
            <w:r>
              <w:rPr>
                <w:sz w:val="20"/>
              </w:rPr>
              <w:t>(a) To comply with technical parameters specified in TSF</w:t>
            </w:r>
          </w:p>
          <w:p w14:paraId="2FCDF6A4">
            <w:pPr>
              <w:spacing w:line="360" w:lineRule="auto"/>
              <w:jc w:val="left"/>
              <w:rPr>
                <w:sz w:val="20"/>
              </w:rPr>
            </w:pPr>
            <w:r>
              <w:rPr>
                <w:sz w:val="20"/>
              </w:rPr>
              <w:t>(b) To furnish a clause-by-clause commentary as specified in the relevant clauses of the General Technical Conditions.</w:t>
            </w:r>
          </w:p>
          <w:p w14:paraId="71F9B8EF">
            <w:pPr>
              <w:spacing w:line="360" w:lineRule="auto"/>
              <w:jc w:val="left"/>
              <w:rPr>
                <w:sz w:val="20"/>
              </w:rPr>
            </w:pPr>
          </w:p>
          <w:p w14:paraId="3D0C8D23">
            <w:pPr>
              <w:spacing w:line="360" w:lineRule="auto"/>
              <w:jc w:val="left"/>
            </w:pPr>
            <w:r>
              <w:rPr>
                <w:sz w:val="20"/>
                <w:lang w:eastAsia="zh-CN"/>
              </w:rPr>
              <w:t>3</w:t>
            </w:r>
            <w:r>
              <w:rPr>
                <w:sz w:val="20"/>
              </w:rPr>
              <w:t xml:space="preserve">) </w:t>
            </w:r>
            <w:r>
              <w:rPr>
                <w:rFonts w:eastAsia="黑体"/>
                <w:b/>
                <w:sz w:val="20"/>
                <w:u w:val="single"/>
              </w:rPr>
              <w:t>Weight Group 2 and Group</w:t>
            </w:r>
            <w:r>
              <w:rPr>
                <w:rFonts w:eastAsia="黑体"/>
                <w:b/>
                <w:sz w:val="20"/>
                <w:u w:val="single"/>
                <w:lang w:eastAsia="zh-CN"/>
              </w:rPr>
              <w:t xml:space="preserve"> 3</w:t>
            </w:r>
            <w:r>
              <w:rPr>
                <w:rFonts w:eastAsia="黑体"/>
                <w:bCs/>
                <w:sz w:val="20"/>
              </w:rPr>
              <w:t xml:space="preserve">: </w:t>
            </w:r>
            <w:r>
              <w:rPr>
                <w:rFonts w:eastAsia="黑体"/>
                <w:bCs/>
                <w:sz w:val="20"/>
                <w:lang w:eastAsia="zh-CN"/>
              </w:rPr>
              <w:t xml:space="preserve"> more than</w:t>
            </w:r>
            <w:r>
              <w:rPr>
                <w:rFonts w:eastAsia="黑体"/>
                <w:bCs/>
                <w:sz w:val="20"/>
              </w:rPr>
              <w:t xml:space="preserve"> </w:t>
            </w:r>
            <w:r>
              <w:rPr>
                <w:rFonts w:eastAsia="黑体"/>
                <w:bCs/>
                <w:sz w:val="20"/>
                <w:lang w:eastAsia="zh-CN"/>
              </w:rPr>
              <w:t>20</w:t>
            </w:r>
            <w:r>
              <w:rPr>
                <w:rFonts w:eastAsia="黑体"/>
                <w:bCs/>
                <w:sz w:val="20"/>
              </w:rPr>
              <w:t xml:space="preserve">% </w:t>
            </w:r>
            <w:r>
              <w:rPr>
                <w:rFonts w:eastAsia="黑体"/>
                <w:bCs/>
                <w:sz w:val="20"/>
                <w:lang w:eastAsia="zh-CN"/>
              </w:rPr>
              <w:t xml:space="preserve">but not more than 30% </w:t>
            </w:r>
            <w:r>
              <w:rPr>
                <w:rFonts w:eastAsia="黑体"/>
                <w:bCs/>
                <w:sz w:val="20"/>
              </w:rPr>
              <w:t>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33C45347">
            <w:pPr>
              <w:spacing w:line="360" w:lineRule="auto"/>
              <w:jc w:val="left"/>
              <w:rPr>
                <w:sz w:val="20"/>
              </w:rPr>
            </w:pPr>
            <w:r>
              <w:rPr>
                <w:sz w:val="20"/>
              </w:rPr>
              <w:t>(a) To comply with technical parameters specified in TSF</w:t>
            </w:r>
          </w:p>
          <w:p w14:paraId="011E30D7">
            <w:pPr>
              <w:autoSpaceDE w:val="0"/>
              <w:autoSpaceDN w:val="0"/>
              <w:adjustRightInd w:val="0"/>
              <w:snapToGrid w:val="0"/>
              <w:spacing w:line="360" w:lineRule="auto"/>
              <w:rPr>
                <w:sz w:val="20"/>
              </w:rPr>
            </w:pPr>
            <w:r>
              <w:rPr>
                <w:sz w:val="20"/>
              </w:rPr>
              <w:t>(b) To furnish a clause-by-clause commentary as specified in the relevant clauses of the General Technical Conditions.</w:t>
            </w:r>
          </w:p>
        </w:tc>
      </w:tr>
      <w:tr w14:paraId="5877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04" w:type="dxa"/>
            <w:tcBorders>
              <w:top w:val="single" w:color="auto" w:sz="4" w:space="0"/>
              <w:left w:val="single" w:color="auto" w:sz="4" w:space="0"/>
              <w:bottom w:val="single" w:color="auto" w:sz="4" w:space="0"/>
              <w:right w:val="single" w:color="auto" w:sz="4" w:space="0"/>
            </w:tcBorders>
          </w:tcPr>
          <w:p w14:paraId="20B95D72">
            <w:pPr>
              <w:adjustRightInd w:val="0"/>
              <w:snapToGrid w:val="0"/>
              <w:spacing w:line="360" w:lineRule="auto"/>
              <w:jc w:val="center"/>
              <w:rPr>
                <w:sz w:val="20"/>
              </w:rPr>
            </w:pPr>
            <w:r>
              <w:rPr>
                <w:sz w:val="20"/>
              </w:rPr>
              <w:t>Non - Compliant</w:t>
            </w:r>
          </w:p>
          <w:p w14:paraId="02429EA2">
            <w:pPr>
              <w:adjustRightInd w:val="0"/>
              <w:snapToGrid w:val="0"/>
              <w:spacing w:line="360" w:lineRule="auto"/>
              <w:jc w:val="center"/>
              <w:rPr>
                <w:sz w:val="20"/>
              </w:rPr>
            </w:pPr>
          </w:p>
          <w:p w14:paraId="50CC5384">
            <w:pPr>
              <w:adjustRightInd w:val="0"/>
              <w:snapToGrid w:val="0"/>
              <w:spacing w:line="360" w:lineRule="auto"/>
              <w:jc w:val="center"/>
              <w:rPr>
                <w:sz w:val="20"/>
              </w:rPr>
            </w:pPr>
            <w:r>
              <w:rPr>
                <w:sz w:val="20"/>
              </w:rPr>
              <w:t>0</w:t>
            </w:r>
          </w:p>
        </w:tc>
        <w:tc>
          <w:tcPr>
            <w:tcW w:w="8083" w:type="dxa"/>
            <w:tcBorders>
              <w:top w:val="single" w:color="auto" w:sz="4" w:space="0"/>
              <w:left w:val="single" w:color="auto" w:sz="4" w:space="0"/>
              <w:bottom w:val="single" w:color="auto" w:sz="4" w:space="0"/>
              <w:right w:val="single" w:color="auto" w:sz="4" w:space="0"/>
            </w:tcBorders>
          </w:tcPr>
          <w:p w14:paraId="49ACBE4E">
            <w:pPr>
              <w:spacing w:line="360" w:lineRule="auto"/>
            </w:pPr>
            <w:r>
              <w:rPr>
                <w:rFonts w:hint="eastAsia"/>
                <w:sz w:val="20"/>
                <w:lang w:eastAsia="zh-CN"/>
              </w:rPr>
              <w:t>1</w:t>
            </w:r>
            <w:r>
              <w:rPr>
                <w:sz w:val="20"/>
              </w:rPr>
              <w:t xml:space="preserve">) </w:t>
            </w:r>
            <w:r>
              <w:rPr>
                <w:rFonts w:eastAsia="黑体"/>
                <w:b/>
                <w:sz w:val="20"/>
                <w:u w:val="single"/>
              </w:rPr>
              <w:t>Weight Group 1</w:t>
            </w:r>
            <w:r>
              <w:rPr>
                <w:rFonts w:eastAsia="黑体"/>
                <w:bCs/>
                <w:sz w:val="20"/>
              </w:rPr>
              <w:t xml:space="preserve">: </w:t>
            </w:r>
            <w:r>
              <w:rPr>
                <w:rFonts w:eastAsia="黑体"/>
                <w:bCs/>
                <w:sz w:val="20"/>
                <w:lang w:eastAsia="zh-CN"/>
              </w:rPr>
              <w:t>more than</w:t>
            </w:r>
            <w:r>
              <w:rPr>
                <w:rFonts w:eastAsia="黑体"/>
                <w:bCs/>
                <w:sz w:val="20"/>
              </w:rPr>
              <w:t xml:space="preserve"> </w:t>
            </w:r>
            <w:r>
              <w:rPr>
                <w:rFonts w:eastAsia="黑体"/>
                <w:bCs/>
                <w:sz w:val="20"/>
                <w:lang w:eastAsia="zh-CN"/>
              </w:rPr>
              <w:t>25</w:t>
            </w:r>
            <w:r>
              <w:rPr>
                <w:rFonts w:eastAsia="黑体"/>
                <w:bCs/>
                <w:sz w:val="20"/>
              </w:rPr>
              <w:t xml:space="preserve">% </w:t>
            </w:r>
            <w:r>
              <w:rPr>
                <w:rFonts w:eastAsia="黑体"/>
                <w:bCs/>
                <w:sz w:val="20"/>
                <w:lang w:eastAsia="zh-CN"/>
              </w:rPr>
              <w:t xml:space="preserve"> </w:t>
            </w:r>
            <w:r>
              <w:rPr>
                <w:rFonts w:eastAsia="黑体"/>
                <w:bCs/>
                <w:sz w:val="20"/>
              </w:rPr>
              <w:t>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030D8E88">
            <w:pPr>
              <w:spacing w:line="360" w:lineRule="auto"/>
              <w:jc w:val="left"/>
              <w:rPr>
                <w:sz w:val="20"/>
              </w:rPr>
            </w:pPr>
            <w:r>
              <w:rPr>
                <w:sz w:val="20"/>
              </w:rPr>
              <w:t>(a) To comply with technical parameters specified in TSF</w:t>
            </w:r>
          </w:p>
          <w:p w14:paraId="3771DF9D">
            <w:pPr>
              <w:spacing w:line="360" w:lineRule="auto"/>
              <w:jc w:val="left"/>
              <w:rPr>
                <w:sz w:val="20"/>
              </w:rPr>
            </w:pPr>
            <w:r>
              <w:rPr>
                <w:sz w:val="20"/>
              </w:rPr>
              <w:t>(b) To furnish a clause-by-clause commentary as specified in the relevant clauses of the General Technical Conditions.</w:t>
            </w:r>
          </w:p>
          <w:p w14:paraId="269C6706">
            <w:pPr>
              <w:spacing w:line="360" w:lineRule="auto"/>
              <w:jc w:val="left"/>
            </w:pPr>
            <w:r>
              <w:rPr>
                <w:rFonts w:hint="eastAsia"/>
                <w:sz w:val="20"/>
                <w:lang w:eastAsia="zh-CN"/>
              </w:rPr>
              <w:t>2</w:t>
            </w:r>
            <w:r>
              <w:rPr>
                <w:sz w:val="20"/>
              </w:rPr>
              <w:t xml:space="preserve">) </w:t>
            </w:r>
            <w:r>
              <w:rPr>
                <w:rFonts w:eastAsia="黑体"/>
                <w:b/>
                <w:sz w:val="20"/>
                <w:u w:val="single"/>
              </w:rPr>
              <w:t>Weight Group 2 and Group</w:t>
            </w:r>
            <w:r>
              <w:rPr>
                <w:rFonts w:eastAsia="黑体"/>
                <w:b/>
                <w:sz w:val="20"/>
                <w:u w:val="single"/>
                <w:lang w:eastAsia="zh-CN"/>
              </w:rPr>
              <w:t xml:space="preserve"> 3</w:t>
            </w:r>
            <w:r>
              <w:rPr>
                <w:rFonts w:eastAsia="黑体"/>
                <w:bCs/>
                <w:sz w:val="20"/>
              </w:rPr>
              <w:t xml:space="preserve">: </w:t>
            </w:r>
            <w:r>
              <w:rPr>
                <w:rFonts w:eastAsia="黑体"/>
                <w:bCs/>
                <w:sz w:val="20"/>
                <w:lang w:eastAsia="zh-CN"/>
              </w:rPr>
              <w:t xml:space="preserve"> more than</w:t>
            </w:r>
            <w:r>
              <w:rPr>
                <w:rFonts w:eastAsia="黑体"/>
                <w:bCs/>
                <w:sz w:val="20"/>
              </w:rPr>
              <w:t xml:space="preserve"> </w:t>
            </w:r>
            <w:r>
              <w:rPr>
                <w:rFonts w:eastAsia="黑体"/>
                <w:bCs/>
                <w:sz w:val="20"/>
                <w:lang w:eastAsia="zh-CN"/>
              </w:rPr>
              <w:t>30</w:t>
            </w:r>
            <w:r>
              <w:rPr>
                <w:rFonts w:eastAsia="黑体"/>
                <w:bCs/>
                <w:sz w:val="20"/>
              </w:rPr>
              <w:t>% of the parameter</w:t>
            </w:r>
            <w:r>
              <w:rPr>
                <w:rFonts w:eastAsia="黑体"/>
                <w:bCs/>
                <w:sz w:val="20"/>
                <w:lang w:eastAsia="zh-CN"/>
              </w:rPr>
              <w:t>s</w:t>
            </w:r>
            <w:r>
              <w:rPr>
                <w:rFonts w:eastAsia="黑体"/>
                <w:bCs/>
                <w:sz w:val="20"/>
              </w:rPr>
              <w:t xml:space="preserve"> </w:t>
            </w:r>
            <w:r>
              <w:rPr>
                <w:rFonts w:eastAsia="黑体"/>
                <w:bCs/>
                <w:sz w:val="20"/>
                <w:lang w:eastAsia="zh-CN"/>
              </w:rPr>
              <w:t xml:space="preserve">of any equipment </w:t>
            </w:r>
            <w:r>
              <w:rPr>
                <w:rFonts w:eastAsia="黑体"/>
                <w:bCs/>
                <w:sz w:val="20"/>
              </w:rPr>
              <w:t>specified in the Technical Specifications Form (TSF) which are not marked with an asterisk (*)</w:t>
            </w:r>
            <w:r>
              <w:rPr>
                <w:rFonts w:eastAsia="黑体"/>
                <w:bCs/>
                <w:sz w:val="20"/>
                <w:lang w:eastAsia="zh-CN"/>
              </w:rPr>
              <w:t xml:space="preserve"> </w:t>
            </w:r>
            <w:r>
              <w:rPr>
                <w:rFonts w:eastAsia="黑体"/>
                <w:bCs/>
                <w:sz w:val="20"/>
              </w:rPr>
              <w:t xml:space="preserve"> do not comply with the </w:t>
            </w:r>
            <w:r>
              <w:rPr>
                <w:sz w:val="20"/>
              </w:rPr>
              <w:t xml:space="preserve">the following </w:t>
            </w:r>
            <w:r>
              <w:rPr>
                <w:sz w:val="20"/>
                <w:lang w:eastAsia="zh-CN"/>
              </w:rPr>
              <w:t>requirements</w:t>
            </w:r>
            <w:r>
              <w:rPr>
                <w:sz w:val="20"/>
              </w:rPr>
              <w:t>:</w:t>
            </w:r>
          </w:p>
          <w:p w14:paraId="5929149D">
            <w:pPr>
              <w:spacing w:line="360" w:lineRule="auto"/>
              <w:jc w:val="left"/>
              <w:rPr>
                <w:sz w:val="20"/>
              </w:rPr>
            </w:pPr>
            <w:r>
              <w:rPr>
                <w:sz w:val="20"/>
              </w:rPr>
              <w:t>(a) To comply with technical parameters specified in TSF</w:t>
            </w:r>
          </w:p>
          <w:p w14:paraId="2167577E">
            <w:pPr>
              <w:adjustRightInd w:val="0"/>
              <w:snapToGrid w:val="0"/>
              <w:spacing w:line="360" w:lineRule="auto"/>
              <w:rPr>
                <w:sz w:val="20"/>
              </w:rPr>
            </w:pPr>
            <w:r>
              <w:rPr>
                <w:sz w:val="20"/>
              </w:rPr>
              <w:t>(b) To furnish a clause-by-clause commentary as specified in the relevant clauses of the General Technical Conditions.</w:t>
            </w:r>
          </w:p>
          <w:p w14:paraId="1883E574">
            <w:pPr>
              <w:autoSpaceDE w:val="0"/>
              <w:autoSpaceDN w:val="0"/>
              <w:adjustRightInd w:val="0"/>
              <w:snapToGrid w:val="0"/>
              <w:spacing w:line="360" w:lineRule="auto"/>
              <w:rPr>
                <w:sz w:val="20"/>
              </w:rPr>
            </w:pPr>
            <w:r>
              <w:rPr>
                <w:rFonts w:hint="eastAsia"/>
                <w:sz w:val="20"/>
                <w:lang w:eastAsia="zh-CN"/>
              </w:rPr>
              <w:t>3</w:t>
            </w:r>
            <w:r>
              <w:rPr>
                <w:sz w:val="20"/>
                <w:lang w:eastAsia="zh-CN"/>
              </w:rPr>
              <w:t>)</w:t>
            </w:r>
            <w:r>
              <w:rPr>
                <w:sz w:val="20"/>
              </w:rPr>
              <w:t>The product supply information written in the Scope of supply form is inconsistent with what is written in the TSF. The relevant item will be regarded as NON-RESPONSIVE to the requirement</w:t>
            </w:r>
            <w:r>
              <w:rPr>
                <w:sz w:val="20"/>
                <w:lang w:eastAsia="zh-CN"/>
              </w:rPr>
              <w:t>s of the bidding documents</w:t>
            </w:r>
            <w:r>
              <w:rPr>
                <w:sz w:val="20"/>
              </w:rPr>
              <w:t>; therefore it will be scored 0.</w:t>
            </w:r>
          </w:p>
          <w:p w14:paraId="6828DD8D">
            <w:pPr>
              <w:adjustRightInd w:val="0"/>
              <w:snapToGrid w:val="0"/>
              <w:spacing w:line="360" w:lineRule="auto"/>
              <w:rPr>
                <w:sz w:val="20"/>
              </w:rPr>
            </w:pPr>
            <w:r>
              <w:rPr>
                <w:rFonts w:hint="eastAsia"/>
                <w:sz w:val="20"/>
                <w:lang w:eastAsia="zh-CN"/>
              </w:rPr>
              <w:t>4</w:t>
            </w:r>
            <w:r>
              <w:rPr>
                <w:sz w:val="20"/>
                <w:lang w:eastAsia="zh-CN"/>
              </w:rPr>
              <w:t xml:space="preserve">) </w:t>
            </w:r>
            <w:r>
              <w:rPr>
                <w:sz w:val="20"/>
              </w:rPr>
              <w:t xml:space="preserve">If any of the main </w:t>
            </w:r>
            <w:r>
              <w:rPr>
                <w:sz w:val="20"/>
                <w:lang w:eastAsia="zh-CN"/>
              </w:rPr>
              <w:t>unit</w:t>
            </w:r>
            <w:r>
              <w:rPr>
                <w:sz w:val="20"/>
              </w:rPr>
              <w:t>, major components and/or accessory required in the technical specification sheet (TSF) is not included or offered by the bidder in the TSF, the relevant item will be regarded as NON-RESPONSIVE to the TSF’s requirements, therefore it will be scored 0.</w:t>
            </w:r>
          </w:p>
          <w:p w14:paraId="02C847D0">
            <w:pPr>
              <w:adjustRightInd w:val="0"/>
              <w:snapToGrid w:val="0"/>
              <w:spacing w:line="360" w:lineRule="auto"/>
              <w:rPr>
                <w:sz w:val="20"/>
              </w:rPr>
            </w:pPr>
            <w:r>
              <w:rPr>
                <w:rFonts w:hint="eastAsia"/>
                <w:sz w:val="20"/>
                <w:lang w:eastAsia="zh-CN"/>
              </w:rPr>
              <w:t>5</w:t>
            </w:r>
            <w:r>
              <w:rPr>
                <w:sz w:val="20"/>
                <w:lang w:eastAsia="zh-CN"/>
              </w:rPr>
              <w:t xml:space="preserve">) </w:t>
            </w:r>
            <w:r>
              <w:rPr>
                <w:sz w:val="20"/>
              </w:rPr>
              <w:t>Item which does not include TSF</w:t>
            </w:r>
            <w:r>
              <w:rPr>
                <w:sz w:val="20"/>
                <w:lang w:eastAsia="zh-CN"/>
              </w:rPr>
              <w:t xml:space="preserve"> </w:t>
            </w:r>
            <w:r>
              <w:rPr>
                <w:b/>
                <w:bCs/>
                <w:sz w:val="20"/>
              </w:rPr>
              <w:t>either</w:t>
            </w:r>
            <w:r>
              <w:rPr>
                <w:sz w:val="20"/>
              </w:rPr>
              <w:t xml:space="preserve"> in English or Chinese</w:t>
            </w:r>
            <w:r>
              <w:rPr>
                <w:sz w:val="20"/>
                <w:lang w:eastAsia="zh-CN"/>
              </w:rPr>
              <w:t xml:space="preserve"> will be evaluated as non-compliant. </w:t>
            </w:r>
          </w:p>
        </w:tc>
      </w:tr>
    </w:tbl>
    <w:p w14:paraId="01027BFA">
      <w:pPr>
        <w:spacing w:after="120" w:afterLines="50" w:line="360" w:lineRule="auto"/>
        <w:rPr>
          <w:sz w:val="20"/>
        </w:rPr>
      </w:pPr>
    </w:p>
    <w:p w14:paraId="575AD10E">
      <w:pPr>
        <w:numPr>
          <w:ilvl w:val="0"/>
          <w:numId w:val="22"/>
        </w:numPr>
        <w:spacing w:after="120" w:afterLines="50" w:line="360" w:lineRule="auto"/>
        <w:rPr>
          <w:sz w:val="20"/>
        </w:rPr>
      </w:pPr>
      <w:r>
        <w:rPr>
          <w:sz w:val="20"/>
        </w:rPr>
        <w:t xml:space="preserve">All items offered by eligible bidders will be assessed and rated with reference to the above definitions and scores. </w:t>
      </w:r>
    </w:p>
    <w:p w14:paraId="5212D882">
      <w:pPr>
        <w:tabs>
          <w:tab w:val="left" w:pos="-1040"/>
        </w:tabs>
        <w:spacing w:after="200" w:line="360" w:lineRule="auto"/>
        <w:ind w:right="106"/>
        <w:rPr>
          <w:rFonts w:eastAsia="黑体"/>
          <w:bCs/>
          <w:sz w:val="20"/>
          <w:lang w:val="en-GB"/>
        </w:rPr>
      </w:pPr>
      <w:r>
        <w:rPr>
          <w:rFonts w:eastAsia="黑体"/>
          <w:bCs/>
          <w:sz w:val="20"/>
          <w:lang w:val="en-GB"/>
        </w:rPr>
        <w:t>For any</w:t>
      </w:r>
      <w:r>
        <w:rPr>
          <w:rFonts w:eastAsia="黑体"/>
          <w:bCs/>
          <w:sz w:val="20"/>
        </w:rPr>
        <w:t xml:space="preserve"> </w:t>
      </w:r>
      <w:r>
        <w:rPr>
          <w:rFonts w:eastAsia="黑体"/>
          <w:bCs/>
          <w:sz w:val="20"/>
          <w:lang w:val="en-GB"/>
        </w:rPr>
        <w:t xml:space="preserve">bid which fails to secure a weighted score of </w:t>
      </w:r>
      <w:r>
        <w:rPr>
          <w:rFonts w:eastAsia="黑体"/>
          <w:b/>
          <w:sz w:val="20"/>
          <w:u w:val="single"/>
          <w:lang w:eastAsia="zh-CN"/>
        </w:rPr>
        <w:t>45</w:t>
      </w:r>
      <w:r>
        <w:rPr>
          <w:rFonts w:eastAsia="黑体"/>
          <w:b/>
          <w:sz w:val="20"/>
          <w:u w:val="single"/>
          <w:lang w:val="en-GB"/>
        </w:rPr>
        <w:t xml:space="preserve"> and above</w:t>
      </w:r>
      <w:r>
        <w:rPr>
          <w:rFonts w:eastAsia="黑体"/>
          <w:bCs/>
          <w:sz w:val="20"/>
          <w:lang w:val="en-GB"/>
        </w:rPr>
        <w:t xml:space="preserve"> </w:t>
      </w:r>
      <w:r>
        <w:rPr>
          <w:rFonts w:eastAsia="黑体"/>
          <w:bCs/>
          <w:sz w:val="20"/>
        </w:rPr>
        <w:t>in</w:t>
      </w:r>
      <w:r>
        <w:rPr>
          <w:rFonts w:eastAsia="黑体"/>
          <w:bCs/>
          <w:sz w:val="20"/>
          <w:lang w:val="en-GB"/>
        </w:rPr>
        <w:t xml:space="preserve"> Part </w:t>
      </w:r>
      <w:r>
        <w:rPr>
          <w:rFonts w:eastAsia="黑体"/>
          <w:bCs/>
          <w:sz w:val="20"/>
          <w:lang w:eastAsia="zh-CN"/>
        </w:rPr>
        <w:t>A</w:t>
      </w:r>
      <w:r>
        <w:rPr>
          <w:rFonts w:eastAsia="黑体"/>
          <w:bCs/>
          <w:sz w:val="20"/>
          <w:lang w:val="en-GB"/>
        </w:rPr>
        <w:t xml:space="preserve"> </w:t>
      </w:r>
      <w:r>
        <w:rPr>
          <w:rFonts w:eastAsia="黑体"/>
          <w:bCs/>
          <w:sz w:val="20"/>
        </w:rPr>
        <w:t>(</w:t>
      </w:r>
      <w:r>
        <w:rPr>
          <w:rFonts w:eastAsia="黑体"/>
          <w:bCs/>
          <w:sz w:val="20"/>
          <w:lang w:val="en-GB"/>
        </w:rPr>
        <w:t>Technical</w:t>
      </w:r>
      <w:r>
        <w:rPr>
          <w:rFonts w:eastAsia="黑体"/>
          <w:bCs/>
          <w:sz w:val="20"/>
        </w:rPr>
        <w:t xml:space="preserve"> Evaluation)</w:t>
      </w:r>
      <w:r>
        <w:rPr>
          <w:rFonts w:eastAsia="黑体"/>
          <w:bCs/>
          <w:sz w:val="20"/>
          <w:lang w:val="en-GB"/>
        </w:rPr>
        <w:t xml:space="preserve">, the  </w:t>
      </w:r>
      <w:r>
        <w:rPr>
          <w:rFonts w:eastAsia="黑体"/>
          <w:bCs/>
          <w:sz w:val="20"/>
        </w:rPr>
        <w:t>bid</w:t>
      </w:r>
      <w:r>
        <w:rPr>
          <w:rFonts w:eastAsia="黑体"/>
          <w:bCs/>
          <w:sz w:val="20"/>
          <w:lang w:val="en-GB"/>
        </w:rPr>
        <w:t xml:space="preserve"> shall be considered technically disqualified</w:t>
      </w:r>
      <w:r>
        <w:rPr>
          <w:rFonts w:eastAsia="黑体"/>
          <w:bCs/>
          <w:sz w:val="20"/>
        </w:rPr>
        <w:t xml:space="preserve"> and shall be rejected to enter into next evaluation procedure</w:t>
      </w:r>
      <w:r>
        <w:rPr>
          <w:rFonts w:eastAsia="黑体"/>
          <w:bCs/>
          <w:sz w:val="20"/>
          <w:lang w:val="en-GB"/>
        </w:rPr>
        <w:t>.</w:t>
      </w:r>
    </w:p>
    <w:p w14:paraId="7D66086C">
      <w:pPr>
        <w:adjustRightInd w:val="0"/>
        <w:snapToGrid w:val="0"/>
        <w:spacing w:after="240" w:afterLines="100" w:line="360" w:lineRule="auto"/>
        <w:ind w:right="386"/>
        <w:rPr>
          <w:b/>
          <w:bCs/>
          <w:sz w:val="20"/>
          <w:u w:val="single"/>
        </w:rPr>
      </w:pPr>
      <w:r>
        <w:rPr>
          <w:b/>
          <w:bCs/>
          <w:sz w:val="20"/>
          <w:u w:val="single"/>
        </w:rPr>
        <w:t>Part B</w:t>
      </w:r>
      <w:r>
        <w:rPr>
          <w:b/>
          <w:bCs/>
          <w:sz w:val="20"/>
          <w:u w:val="single"/>
        </w:rPr>
        <w:tab/>
      </w:r>
      <w:r>
        <w:rPr>
          <w:b/>
          <w:bCs/>
          <w:sz w:val="20"/>
          <w:u w:val="single"/>
        </w:rPr>
        <w:t>Price Evaluation (3</w:t>
      </w:r>
      <w:r>
        <w:rPr>
          <w:b/>
          <w:bCs/>
          <w:sz w:val="20"/>
          <w:u w:val="single"/>
          <w:lang w:eastAsia="zh-CN"/>
        </w:rPr>
        <w:t>0</w:t>
      </w:r>
      <w:r>
        <w:rPr>
          <w:b/>
          <w:bCs/>
          <w:sz w:val="20"/>
          <w:u w:val="single"/>
        </w:rPr>
        <w:t>%)</w:t>
      </w:r>
    </w:p>
    <w:p w14:paraId="4E5E1FAE">
      <w:pPr>
        <w:numPr>
          <w:ilvl w:val="0"/>
          <w:numId w:val="23"/>
        </w:numPr>
        <w:spacing w:after="120" w:afterLines="50" w:line="360" w:lineRule="auto"/>
        <w:ind w:left="426"/>
        <w:rPr>
          <w:sz w:val="20"/>
          <w:lang w:val="en-GB"/>
        </w:rPr>
      </w:pPr>
      <w:r>
        <w:rPr>
          <w:sz w:val="20"/>
          <w:lang w:val="en-GB"/>
        </w:rPr>
        <w:t xml:space="preserve">Price will be evaluated according to following steps: arithmetic correction, price calculation after statement of </w:t>
      </w:r>
      <w:r>
        <w:rPr>
          <w:sz w:val="20"/>
          <w:lang w:eastAsia="zh-CN"/>
        </w:rPr>
        <w:t xml:space="preserve">bid </w:t>
      </w:r>
      <w:r>
        <w:rPr>
          <w:sz w:val="20"/>
          <w:lang w:val="en-GB"/>
        </w:rPr>
        <w:t xml:space="preserve">(discount/price rise), and price scoring. </w:t>
      </w:r>
    </w:p>
    <w:p w14:paraId="63D703A7">
      <w:pPr>
        <w:numPr>
          <w:ilvl w:val="0"/>
          <w:numId w:val="23"/>
        </w:numPr>
        <w:spacing w:after="120" w:afterLines="50" w:line="360" w:lineRule="auto"/>
        <w:ind w:left="426"/>
        <w:rPr>
          <w:sz w:val="20"/>
          <w:lang w:val="en-GB"/>
        </w:rPr>
      </w:pPr>
      <w:r>
        <w:rPr>
          <w:sz w:val="20"/>
          <w:lang w:val="en-GB"/>
        </w:rPr>
        <w:t xml:space="preserve">Bid evaluation shall comply with low price and economical principles. Effective bid with lowest bid price will be granted with full marks of price evaluation, i.e. </w:t>
      </w:r>
      <w:r>
        <w:rPr>
          <w:sz w:val="20"/>
        </w:rPr>
        <w:t>3</w:t>
      </w:r>
      <w:r>
        <w:rPr>
          <w:sz w:val="20"/>
          <w:lang w:eastAsia="zh-CN"/>
        </w:rPr>
        <w:t>0</w:t>
      </w:r>
      <w:r>
        <w:rPr>
          <w:sz w:val="20"/>
          <w:lang w:val="en-GB"/>
        </w:rPr>
        <w:t xml:space="preserve"> points. Score of bid price for other bidders will be calculated per following formula: </w:t>
      </w:r>
    </w:p>
    <w:p w14:paraId="4AB410FB">
      <w:pPr>
        <w:spacing w:after="120" w:afterLines="50" w:line="360" w:lineRule="auto"/>
        <w:ind w:left="425" w:leftChars="177"/>
        <w:rPr>
          <w:b/>
          <w:bCs/>
          <w:sz w:val="20"/>
          <w:lang w:val="en-GB"/>
        </w:rPr>
      </w:pPr>
      <w:r>
        <w:rPr>
          <w:b/>
          <w:bCs/>
          <w:sz w:val="20"/>
          <w:lang w:val="en-GB"/>
        </w:rPr>
        <w:t>Score of Bid Price = (corrected lowest price</w:t>
      </w:r>
      <w:r>
        <w:rPr>
          <w:b/>
          <w:bCs/>
          <w:sz w:val="20"/>
          <w:lang w:val="en-GB" w:eastAsia="zh-CN"/>
        </w:rPr>
        <w:t xml:space="preserve"> </w:t>
      </w:r>
      <w:r>
        <w:rPr>
          <w:b/>
          <w:bCs/>
          <w:sz w:val="20"/>
          <w:lang w:val="en-GB"/>
        </w:rPr>
        <w:t>/ respective evaluated bid price) × 3</w:t>
      </w:r>
      <w:r>
        <w:rPr>
          <w:b/>
          <w:bCs/>
          <w:sz w:val="20"/>
          <w:lang w:eastAsia="zh-CN"/>
        </w:rPr>
        <w:t>0</w:t>
      </w:r>
      <w:r>
        <w:rPr>
          <w:b/>
          <w:bCs/>
          <w:sz w:val="20"/>
          <w:lang w:val="en-GB"/>
        </w:rPr>
        <w:t>% × 100</w:t>
      </w:r>
    </w:p>
    <w:p w14:paraId="78FC5BED">
      <w:pPr>
        <w:spacing w:after="120" w:afterLines="50" w:line="360" w:lineRule="auto"/>
        <w:ind w:left="425" w:leftChars="177"/>
        <w:rPr>
          <w:sz w:val="20"/>
          <w:lang w:val="en-GB" w:eastAsia="zh-CN"/>
        </w:rPr>
      </w:pPr>
      <w:r>
        <w:rPr>
          <w:sz w:val="20"/>
          <w:lang w:val="en-GB"/>
        </w:rPr>
        <w:t>The utmost score and the least score of evaluated bid price will be 3</w:t>
      </w:r>
      <w:r>
        <w:rPr>
          <w:sz w:val="20"/>
          <w:lang w:eastAsia="zh-CN"/>
        </w:rPr>
        <w:t>0</w:t>
      </w:r>
      <w:r>
        <w:rPr>
          <w:sz w:val="20"/>
          <w:lang w:val="en-GB"/>
        </w:rPr>
        <w:t xml:space="preserve"> points and 0 point respectively. The scoring of other prices shall be between 3</w:t>
      </w:r>
      <w:r>
        <w:rPr>
          <w:sz w:val="20"/>
          <w:lang w:eastAsia="zh-CN"/>
        </w:rPr>
        <w:t>0</w:t>
      </w:r>
      <w:r>
        <w:rPr>
          <w:sz w:val="20"/>
          <w:lang w:val="en-GB"/>
        </w:rPr>
        <w:t xml:space="preserve"> and 0. </w:t>
      </w:r>
    </w:p>
    <w:p w14:paraId="045F7EC6">
      <w:pPr>
        <w:spacing w:after="120" w:afterLines="50" w:line="360" w:lineRule="auto"/>
        <w:ind w:left="425" w:leftChars="177"/>
        <w:rPr>
          <w:sz w:val="20"/>
          <w:lang w:val="en-GB" w:eastAsia="zh-CN"/>
        </w:rPr>
      </w:pPr>
    </w:p>
    <w:p w14:paraId="5E8F2627">
      <w:pPr>
        <w:numPr>
          <w:ilvl w:val="0"/>
          <w:numId w:val="23"/>
        </w:numPr>
        <w:spacing w:after="120" w:afterLines="50" w:line="360" w:lineRule="auto"/>
        <w:ind w:left="426"/>
        <w:rPr>
          <w:sz w:val="20"/>
          <w:lang w:val="en-GB"/>
        </w:rPr>
      </w:pPr>
      <w:r>
        <w:rPr>
          <w:sz w:val="20"/>
          <w:lang w:val="en-GB"/>
        </w:rPr>
        <w:t>If there is any incomplete or missing item in the bidder’s price sheet, the following principle shall be adopted:</w:t>
      </w:r>
    </w:p>
    <w:p w14:paraId="34B79729">
      <w:pPr>
        <w:numPr>
          <w:ilvl w:val="0"/>
          <w:numId w:val="24"/>
        </w:numPr>
        <w:spacing w:after="120" w:afterLines="50" w:line="360" w:lineRule="auto"/>
        <w:ind w:left="709" w:hanging="284"/>
        <w:rPr>
          <w:sz w:val="20"/>
        </w:rPr>
      </w:pPr>
      <w:r>
        <w:rPr>
          <w:sz w:val="20"/>
        </w:rPr>
        <w:t>Missing item is not allowed.</w:t>
      </w:r>
    </w:p>
    <w:p w14:paraId="022ED671">
      <w:pPr>
        <w:numPr>
          <w:ilvl w:val="0"/>
          <w:numId w:val="24"/>
        </w:numPr>
        <w:spacing w:after="120" w:afterLines="50" w:line="360" w:lineRule="auto"/>
        <w:ind w:left="709" w:hanging="284"/>
        <w:rPr>
          <w:sz w:val="20"/>
          <w:lang w:val="en-GB"/>
        </w:rPr>
      </w:pPr>
      <w:r>
        <w:rPr>
          <w:sz w:val="20"/>
        </w:rPr>
        <w:t xml:space="preserve">If the quantity in the price sheet is not in accordance with the </w:t>
      </w:r>
      <w:r>
        <w:rPr>
          <w:sz w:val="20"/>
          <w:lang w:eastAsia="zh-CN"/>
        </w:rPr>
        <w:t>Bidding Documents</w:t>
      </w:r>
      <w:r>
        <w:rPr>
          <w:sz w:val="20"/>
        </w:rPr>
        <w:t xml:space="preserve">, this bidder’s price shall be adjusted to the same quantity as the </w:t>
      </w:r>
      <w:r>
        <w:rPr>
          <w:sz w:val="20"/>
          <w:lang w:eastAsia="zh-CN"/>
        </w:rPr>
        <w:t>Bidding Documents</w:t>
      </w:r>
      <w:r>
        <w:rPr>
          <w:sz w:val="20"/>
        </w:rPr>
        <w:t xml:space="preserve"> with the unit price of the bidder. </w:t>
      </w:r>
    </w:p>
    <w:p w14:paraId="59E558A8">
      <w:pPr>
        <w:numPr>
          <w:ilvl w:val="0"/>
          <w:numId w:val="24"/>
        </w:numPr>
        <w:spacing w:after="120" w:afterLines="50" w:line="360" w:lineRule="auto"/>
        <w:ind w:left="709" w:hanging="284"/>
        <w:rPr>
          <w:sz w:val="20"/>
          <w:lang w:val="en-GB"/>
        </w:rPr>
      </w:pPr>
      <w:r>
        <w:rPr>
          <w:sz w:val="20"/>
          <w:lang w:val="en-GB"/>
        </w:rPr>
        <w:t>The Total bid Price shall not include any item beyond the requirement of the bidding document, otherwise, the offer on such item will not be deducted when evaluated.</w:t>
      </w:r>
    </w:p>
    <w:p w14:paraId="4E871A4C">
      <w:pPr>
        <w:numPr>
          <w:ilvl w:val="0"/>
          <w:numId w:val="24"/>
        </w:numPr>
        <w:spacing w:after="120" w:afterLines="50" w:line="360" w:lineRule="auto"/>
        <w:ind w:left="709" w:hanging="284"/>
        <w:rPr>
          <w:sz w:val="20"/>
          <w:lang w:val="en-GB"/>
        </w:rPr>
      </w:pPr>
      <w:r>
        <w:rPr>
          <w:sz w:val="20"/>
          <w:lang w:val="en-GB"/>
        </w:rPr>
        <w:t>Arithmetical errors will be rectified on the following basis. If there is a Discrepancy between the unit price and the total price that is obtained by multiplying the unit price and quantity, the unit price shall prevail, and the total price shall be corrected. If there is discrepancy between words and figures, the amount in words will prevail. If the bidder does not accept the correction of the errors, its bid will be rejected.</w:t>
      </w:r>
    </w:p>
    <w:p w14:paraId="3008AA5B">
      <w:pPr>
        <w:adjustRightInd w:val="0"/>
        <w:snapToGrid w:val="0"/>
        <w:spacing w:after="120" w:afterLines="50" w:line="360" w:lineRule="auto"/>
        <w:ind w:left="398" w:leftChars="166" w:right="386"/>
        <w:rPr>
          <w:sz w:val="20"/>
        </w:rPr>
      </w:pPr>
      <w:r>
        <w:rPr>
          <w:sz w:val="20"/>
        </w:rPr>
        <w:t>If bid evaluation committee consider bid price is impractical low, bid evaluation committee will ask bidder to provide a written detailed price sheet. After reviewing the detailed price sheet, bid evaluation committee still reasonably suspect if bidder can provide qualified equipment and perform service based on the price it submitted and risk of executing the contract</w:t>
      </w:r>
      <w:r>
        <w:rPr>
          <w:sz w:val="20"/>
          <w:lang w:eastAsia="zh-CN"/>
        </w:rPr>
        <w:t xml:space="preserve">, </w:t>
      </w:r>
      <w:r>
        <w:rPr>
          <w:sz w:val="20"/>
        </w:rPr>
        <w:t>the bid will be rejected.</w:t>
      </w:r>
    </w:p>
    <w:p w14:paraId="577C293E">
      <w:pPr>
        <w:adjustRightInd w:val="0"/>
        <w:snapToGrid w:val="0"/>
        <w:spacing w:after="120" w:afterLines="50" w:line="360" w:lineRule="auto"/>
        <w:ind w:left="398" w:leftChars="166" w:right="386"/>
        <w:rPr>
          <w:sz w:val="20"/>
        </w:rPr>
      </w:pPr>
      <w:r>
        <w:rPr>
          <w:sz w:val="20"/>
        </w:rPr>
        <w:t xml:space="preserve">If bid evaluation committee consider unit price of </w:t>
      </w:r>
      <w:r>
        <w:rPr>
          <w:rFonts w:hint="eastAsia"/>
          <w:sz w:val="20"/>
        </w:rPr>
        <w:t>an item</w:t>
      </w:r>
      <w:r>
        <w:rPr>
          <w:sz w:val="20"/>
        </w:rPr>
        <w:t xml:space="preserve"> is impractical low, bid evaluation committee will ask bidder to provide a written detailed price sheet. After reviewing the detailed price sheet, bid evaluation committee still reasonably suspect if bidder can provide qualified equipment and perform service based on the price it submitted and risk of executing the contract</w:t>
      </w:r>
      <w:r>
        <w:rPr>
          <w:sz w:val="20"/>
          <w:lang w:eastAsia="zh-CN"/>
        </w:rPr>
        <w:t xml:space="preserve">, </w:t>
      </w:r>
      <w:r>
        <w:rPr>
          <w:rFonts w:hint="eastAsia"/>
          <w:sz w:val="20"/>
          <w:lang w:eastAsia="zh-CN"/>
        </w:rPr>
        <w:t>an item</w:t>
      </w:r>
      <w:r>
        <w:rPr>
          <w:sz w:val="20"/>
        </w:rPr>
        <w:t xml:space="preserve"> will be rejected. </w:t>
      </w:r>
    </w:p>
    <w:p w14:paraId="5147149A">
      <w:pPr>
        <w:adjustRightInd w:val="0"/>
        <w:snapToGrid w:val="0"/>
        <w:spacing w:after="120" w:afterLines="50" w:line="360" w:lineRule="auto"/>
        <w:ind w:left="398" w:leftChars="166" w:right="386"/>
        <w:rPr>
          <w:sz w:val="20"/>
        </w:rPr>
      </w:pPr>
      <w:r>
        <w:rPr>
          <w:sz w:val="20"/>
        </w:rPr>
        <w:t xml:space="preserve">For convenience, in price evaluation, the unit price of </w:t>
      </w:r>
      <w:r>
        <w:rPr>
          <w:rFonts w:hint="eastAsia"/>
          <w:sz w:val="20"/>
        </w:rPr>
        <w:t>an item</w:t>
      </w:r>
      <w:r>
        <w:rPr>
          <w:sz w:val="20"/>
        </w:rPr>
        <w:t xml:space="preserve"> and service will be replaced by the highest unit price of same </w:t>
      </w:r>
      <w:r>
        <w:rPr>
          <w:rFonts w:hint="eastAsia"/>
          <w:sz w:val="20"/>
        </w:rPr>
        <w:t>an item</w:t>
      </w:r>
      <w:r>
        <w:rPr>
          <w:sz w:val="20"/>
        </w:rPr>
        <w:t xml:space="preserve"> in all bidders’ and counted in the total bid price.</w:t>
      </w:r>
    </w:p>
    <w:p w14:paraId="07477499">
      <w:pPr>
        <w:adjustRightInd w:val="0"/>
        <w:snapToGrid w:val="0"/>
        <w:spacing w:after="120" w:afterLines="50" w:line="360" w:lineRule="auto"/>
        <w:ind w:right="386"/>
        <w:rPr>
          <w:sz w:val="20"/>
        </w:rPr>
      </w:pPr>
    </w:p>
    <w:p w14:paraId="03299B7F">
      <w:pPr>
        <w:spacing w:after="120" w:afterLines="50" w:line="360" w:lineRule="auto"/>
        <w:ind w:left="1" w:hanging="1"/>
        <w:rPr>
          <w:sz w:val="20"/>
        </w:rPr>
      </w:pPr>
      <w:r>
        <w:rPr>
          <w:b/>
          <w:bCs/>
          <w:sz w:val="20"/>
          <w:u w:val="single"/>
        </w:rPr>
        <w:t xml:space="preserve">Part C </w:t>
      </w:r>
      <w:r>
        <w:rPr>
          <w:rFonts w:hint="eastAsia"/>
          <w:b/>
          <w:bCs/>
          <w:sz w:val="20"/>
          <w:u w:val="single"/>
        </w:rPr>
        <w:t>Commercial and Other Comparison</w:t>
      </w:r>
      <w:r>
        <w:rPr>
          <w:b/>
          <w:bCs/>
          <w:sz w:val="20"/>
          <w:u w:val="single"/>
        </w:rPr>
        <w:t xml:space="preserve"> (</w:t>
      </w:r>
      <w:r>
        <w:rPr>
          <w:rFonts w:hint="eastAsia"/>
          <w:b/>
          <w:bCs/>
          <w:sz w:val="20"/>
          <w:u w:val="single"/>
          <w:lang w:eastAsia="zh-CN"/>
        </w:rPr>
        <w:t>10</w:t>
      </w:r>
      <w:r>
        <w:rPr>
          <w:b/>
          <w:bCs/>
          <w:sz w:val="20"/>
          <w:u w:val="single"/>
        </w:rPr>
        <w:t>%)</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5981"/>
        <w:gridCol w:w="2227"/>
      </w:tblGrid>
      <w:tr w14:paraId="18172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tcBorders>
              <w:top w:val="single" w:color="auto" w:sz="4" w:space="0"/>
              <w:left w:val="single" w:color="auto" w:sz="4" w:space="0"/>
              <w:bottom w:val="single" w:color="auto" w:sz="4" w:space="0"/>
              <w:right w:val="single" w:color="auto" w:sz="4" w:space="0"/>
            </w:tcBorders>
            <w:vAlign w:val="center"/>
          </w:tcPr>
          <w:p w14:paraId="0E34020D">
            <w:pPr>
              <w:adjustRightInd w:val="0"/>
              <w:snapToGrid w:val="0"/>
              <w:spacing w:line="240" w:lineRule="auto"/>
              <w:jc w:val="center"/>
              <w:rPr>
                <w:b/>
                <w:bCs/>
                <w:sz w:val="22"/>
                <w:szCs w:val="22"/>
              </w:rPr>
            </w:pPr>
            <w:r>
              <w:rPr>
                <w:b/>
                <w:bCs/>
                <w:sz w:val="22"/>
                <w:szCs w:val="22"/>
              </w:rPr>
              <w:t>No</w:t>
            </w:r>
          </w:p>
        </w:tc>
        <w:tc>
          <w:tcPr>
            <w:tcW w:w="5981" w:type="dxa"/>
            <w:tcBorders>
              <w:top w:val="single" w:color="auto" w:sz="4" w:space="0"/>
              <w:left w:val="nil"/>
              <w:bottom w:val="single" w:color="auto" w:sz="4" w:space="0"/>
              <w:right w:val="single" w:color="auto" w:sz="4" w:space="0"/>
            </w:tcBorders>
            <w:vAlign w:val="center"/>
          </w:tcPr>
          <w:p w14:paraId="4C877C52">
            <w:pPr>
              <w:adjustRightInd w:val="0"/>
              <w:snapToGrid w:val="0"/>
              <w:spacing w:line="240" w:lineRule="auto"/>
              <w:jc w:val="center"/>
              <w:rPr>
                <w:b/>
                <w:bCs/>
                <w:sz w:val="22"/>
                <w:szCs w:val="22"/>
              </w:rPr>
            </w:pPr>
            <w:r>
              <w:rPr>
                <w:b/>
                <w:bCs/>
                <w:sz w:val="22"/>
                <w:szCs w:val="22"/>
              </w:rPr>
              <w:t>Description</w:t>
            </w:r>
          </w:p>
        </w:tc>
        <w:tc>
          <w:tcPr>
            <w:tcW w:w="2227" w:type="dxa"/>
            <w:tcBorders>
              <w:top w:val="single" w:color="auto" w:sz="4" w:space="0"/>
              <w:left w:val="nil"/>
              <w:bottom w:val="single" w:color="auto" w:sz="4" w:space="0"/>
              <w:right w:val="single" w:color="auto" w:sz="4" w:space="0"/>
            </w:tcBorders>
            <w:vAlign w:val="center"/>
          </w:tcPr>
          <w:p w14:paraId="73762D6C">
            <w:pPr>
              <w:adjustRightInd w:val="0"/>
              <w:snapToGrid w:val="0"/>
              <w:spacing w:line="240" w:lineRule="auto"/>
              <w:jc w:val="center"/>
              <w:rPr>
                <w:b/>
                <w:bCs/>
                <w:sz w:val="22"/>
                <w:szCs w:val="22"/>
              </w:rPr>
            </w:pPr>
            <w:r>
              <w:rPr>
                <w:b/>
                <w:bCs/>
                <w:sz w:val="22"/>
                <w:szCs w:val="22"/>
              </w:rPr>
              <w:t>Score</w:t>
            </w:r>
          </w:p>
        </w:tc>
      </w:tr>
      <w:tr w14:paraId="6647E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tcBorders>
              <w:top w:val="single" w:color="auto" w:sz="4" w:space="0"/>
              <w:left w:val="single" w:color="auto" w:sz="4" w:space="0"/>
              <w:bottom w:val="single" w:color="auto" w:sz="4" w:space="0"/>
              <w:right w:val="single" w:color="auto" w:sz="4" w:space="0"/>
            </w:tcBorders>
            <w:vAlign w:val="center"/>
          </w:tcPr>
          <w:p w14:paraId="6F4187C8">
            <w:pPr>
              <w:adjustRightInd w:val="0"/>
              <w:snapToGrid w:val="0"/>
              <w:spacing w:line="240" w:lineRule="auto"/>
              <w:jc w:val="center"/>
              <w:rPr>
                <w:b/>
                <w:bCs/>
                <w:sz w:val="22"/>
                <w:szCs w:val="22"/>
              </w:rPr>
            </w:pPr>
            <w:r>
              <w:rPr>
                <w:b/>
                <w:bCs/>
                <w:sz w:val="22"/>
                <w:szCs w:val="22"/>
              </w:rPr>
              <w:t>1</w:t>
            </w:r>
          </w:p>
        </w:tc>
        <w:tc>
          <w:tcPr>
            <w:tcW w:w="5981" w:type="dxa"/>
            <w:tcBorders>
              <w:top w:val="single" w:color="auto" w:sz="4" w:space="0"/>
              <w:left w:val="nil"/>
              <w:bottom w:val="single" w:color="auto" w:sz="4" w:space="0"/>
              <w:right w:val="single" w:color="auto" w:sz="4" w:space="0"/>
            </w:tcBorders>
            <w:vAlign w:val="center"/>
          </w:tcPr>
          <w:p w14:paraId="4FF78E90">
            <w:pPr>
              <w:adjustRightInd w:val="0"/>
              <w:snapToGrid w:val="0"/>
              <w:spacing w:line="240" w:lineRule="auto"/>
              <w:jc w:val="left"/>
              <w:rPr>
                <w:sz w:val="22"/>
                <w:szCs w:val="22"/>
              </w:rPr>
            </w:pPr>
            <w:r>
              <w:rPr>
                <w:sz w:val="22"/>
                <w:szCs w:val="22"/>
              </w:rPr>
              <w:t>Litigation (20</w:t>
            </w:r>
            <w:r>
              <w:rPr>
                <w:rFonts w:hint="eastAsia"/>
                <w:sz w:val="22"/>
                <w:szCs w:val="22"/>
                <w:lang w:val="en-US" w:eastAsia="zh-CN"/>
              </w:rPr>
              <w:t>0</w:t>
            </w:r>
            <w:r>
              <w:rPr>
                <w:sz w:val="22"/>
                <w:szCs w:val="22"/>
              </w:rPr>
              <w:t>9-the deadline for bid submission)</w:t>
            </w:r>
          </w:p>
          <w:p w14:paraId="606D4881">
            <w:pPr>
              <w:adjustRightInd w:val="0"/>
              <w:snapToGrid w:val="0"/>
              <w:spacing w:line="240" w:lineRule="auto"/>
              <w:jc w:val="left"/>
              <w:rPr>
                <w:sz w:val="22"/>
                <w:szCs w:val="22"/>
              </w:rPr>
            </w:pPr>
            <w:r>
              <w:rPr>
                <w:sz w:val="22"/>
                <w:szCs w:val="22"/>
              </w:rPr>
              <w:t>The Bidders will be graded based on the status of their involvement in litigation. The bidder should submit a statement. The standard of the gradings are set out below:</w:t>
            </w:r>
          </w:p>
          <w:p w14:paraId="134EBF8B">
            <w:pPr>
              <w:adjustRightInd w:val="0"/>
              <w:snapToGrid w:val="0"/>
              <w:spacing w:line="240" w:lineRule="auto"/>
              <w:jc w:val="left"/>
              <w:rPr>
                <w:sz w:val="22"/>
                <w:szCs w:val="22"/>
              </w:rPr>
            </w:pPr>
            <w:r>
              <w:rPr>
                <w:sz w:val="22"/>
                <w:szCs w:val="22"/>
              </w:rPr>
              <w:t>(a) no involvement in litigation or no loss record=3</w:t>
            </w:r>
          </w:p>
          <w:p w14:paraId="3D14FE51">
            <w:pPr>
              <w:adjustRightInd w:val="0"/>
              <w:snapToGrid w:val="0"/>
              <w:spacing w:line="240" w:lineRule="auto"/>
              <w:jc w:val="left"/>
              <w:rPr>
                <w:sz w:val="22"/>
                <w:szCs w:val="22"/>
              </w:rPr>
            </w:pPr>
            <w:r>
              <w:rPr>
                <w:rFonts w:hint="eastAsia"/>
                <w:sz w:val="22"/>
                <w:szCs w:val="22"/>
              </w:rPr>
              <w:t>(b) has record of losing litigation or enforced by the court=0</w:t>
            </w:r>
          </w:p>
          <w:p w14:paraId="4C571160">
            <w:pPr>
              <w:adjustRightInd w:val="0"/>
              <w:snapToGrid w:val="0"/>
              <w:spacing w:line="240" w:lineRule="auto"/>
              <w:jc w:val="left"/>
              <w:rPr>
                <w:b/>
                <w:bCs/>
                <w:sz w:val="22"/>
                <w:szCs w:val="22"/>
              </w:rPr>
            </w:pPr>
            <w:r>
              <w:rPr>
                <w:rFonts w:hint="eastAsia"/>
                <w:sz w:val="22"/>
                <w:szCs w:val="22"/>
              </w:rPr>
              <w:t xml:space="preserve">If the statement is not provided or if a conditional statement is provided or if the records in the statement are incomplete, </w:t>
            </w:r>
            <w:r>
              <w:rPr>
                <w:rFonts w:hint="eastAsia"/>
                <w:sz w:val="22"/>
                <w:szCs w:val="22"/>
                <w:lang w:eastAsia="zh-CN"/>
              </w:rPr>
              <w:t>0</w:t>
            </w:r>
            <w:r>
              <w:rPr>
                <w:rFonts w:hint="eastAsia"/>
                <w:sz w:val="22"/>
                <w:szCs w:val="22"/>
              </w:rPr>
              <w:t xml:space="preserve"> points will be awarded for this item</w:t>
            </w:r>
          </w:p>
        </w:tc>
        <w:tc>
          <w:tcPr>
            <w:tcW w:w="2227" w:type="dxa"/>
            <w:tcBorders>
              <w:top w:val="single" w:color="auto" w:sz="4" w:space="0"/>
              <w:left w:val="nil"/>
              <w:bottom w:val="single" w:color="auto" w:sz="4" w:space="0"/>
              <w:right w:val="single" w:color="auto" w:sz="4" w:space="0"/>
            </w:tcBorders>
            <w:vAlign w:val="center"/>
          </w:tcPr>
          <w:p w14:paraId="27F7FE4D">
            <w:pPr>
              <w:adjustRightInd w:val="0"/>
              <w:snapToGrid w:val="0"/>
              <w:spacing w:line="240" w:lineRule="auto"/>
              <w:jc w:val="center"/>
              <w:rPr>
                <w:sz w:val="22"/>
                <w:szCs w:val="22"/>
              </w:rPr>
            </w:pPr>
            <w:r>
              <w:rPr>
                <w:sz w:val="22"/>
                <w:szCs w:val="22"/>
              </w:rPr>
              <w:t>3</w:t>
            </w:r>
          </w:p>
        </w:tc>
      </w:tr>
      <w:tr w14:paraId="075E4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tcBorders>
              <w:top w:val="single" w:color="auto" w:sz="4" w:space="0"/>
              <w:left w:val="single" w:color="auto" w:sz="4" w:space="0"/>
              <w:bottom w:val="single" w:color="auto" w:sz="4" w:space="0"/>
              <w:right w:val="single" w:color="auto" w:sz="4" w:space="0"/>
            </w:tcBorders>
            <w:vAlign w:val="center"/>
          </w:tcPr>
          <w:p w14:paraId="21A7C3E6">
            <w:pPr>
              <w:adjustRightInd w:val="0"/>
              <w:snapToGrid w:val="0"/>
              <w:spacing w:line="240" w:lineRule="auto"/>
              <w:jc w:val="center"/>
              <w:rPr>
                <w:b/>
                <w:bCs/>
                <w:sz w:val="22"/>
                <w:szCs w:val="22"/>
              </w:rPr>
            </w:pPr>
            <w:r>
              <w:rPr>
                <w:b/>
                <w:bCs/>
                <w:sz w:val="22"/>
                <w:szCs w:val="22"/>
              </w:rPr>
              <w:t>2</w:t>
            </w:r>
          </w:p>
        </w:tc>
        <w:tc>
          <w:tcPr>
            <w:tcW w:w="5981" w:type="dxa"/>
            <w:tcBorders>
              <w:top w:val="single" w:color="auto" w:sz="4" w:space="0"/>
              <w:left w:val="nil"/>
              <w:bottom w:val="single" w:color="auto" w:sz="4" w:space="0"/>
              <w:right w:val="single" w:color="auto" w:sz="4" w:space="0"/>
            </w:tcBorders>
            <w:vAlign w:val="center"/>
          </w:tcPr>
          <w:p w14:paraId="588805A7">
            <w:pPr>
              <w:adjustRightInd w:val="0"/>
              <w:snapToGrid w:val="0"/>
              <w:spacing w:line="240" w:lineRule="auto"/>
              <w:jc w:val="left"/>
              <w:rPr>
                <w:rFonts w:hint="eastAsia"/>
                <w:sz w:val="22"/>
                <w:szCs w:val="22"/>
              </w:rPr>
            </w:pPr>
            <w:r>
              <w:rPr>
                <w:rFonts w:hint="eastAsia"/>
                <w:sz w:val="22"/>
                <w:szCs w:val="22"/>
              </w:rPr>
              <w:t>The Bid Evaluation Committee will base its scoring on the degree of compliance with the Comprehensive Training Program Form and the Product Guarantee Service Form:</w:t>
            </w:r>
          </w:p>
          <w:p w14:paraId="356D2F16">
            <w:pPr>
              <w:adjustRightInd w:val="0"/>
              <w:snapToGrid w:val="0"/>
              <w:spacing w:line="240" w:lineRule="auto"/>
              <w:jc w:val="left"/>
              <w:rPr>
                <w:rFonts w:hint="eastAsia"/>
                <w:sz w:val="22"/>
                <w:szCs w:val="22"/>
              </w:rPr>
            </w:pPr>
            <w:r>
              <w:rPr>
                <w:rFonts w:hint="eastAsia"/>
                <w:sz w:val="22"/>
                <w:szCs w:val="22"/>
              </w:rPr>
              <w:t xml:space="preserve">a) Better than or meets all terms in both </w:t>
            </w:r>
            <w:r>
              <w:rPr>
                <w:rFonts w:hint="eastAsia"/>
                <w:sz w:val="22"/>
                <w:szCs w:val="22"/>
                <w:lang w:val="en-US" w:eastAsia="zh-CN"/>
              </w:rPr>
              <w:t>form</w:t>
            </w:r>
            <w:r>
              <w:rPr>
                <w:rFonts w:hint="eastAsia"/>
                <w:sz w:val="22"/>
                <w:szCs w:val="22"/>
              </w:rPr>
              <w:t>s = 2</w:t>
            </w:r>
          </w:p>
          <w:p w14:paraId="2F61B0E1">
            <w:pPr>
              <w:adjustRightInd w:val="0"/>
              <w:snapToGrid w:val="0"/>
              <w:spacing w:line="240" w:lineRule="auto"/>
              <w:jc w:val="left"/>
              <w:rPr>
                <w:rFonts w:hint="eastAsia"/>
                <w:sz w:val="22"/>
                <w:szCs w:val="22"/>
              </w:rPr>
            </w:pPr>
            <w:r>
              <w:rPr>
                <w:rFonts w:hint="eastAsia"/>
                <w:sz w:val="22"/>
                <w:szCs w:val="22"/>
              </w:rPr>
              <w:t>b) Better than or meets all provisions in either</w:t>
            </w:r>
            <w:r>
              <w:rPr>
                <w:rFonts w:hint="eastAsia"/>
                <w:sz w:val="22"/>
                <w:szCs w:val="22"/>
                <w:lang w:val="en-US" w:eastAsia="zh-CN"/>
              </w:rPr>
              <w:t xml:space="preserve"> form</w:t>
            </w:r>
            <w:r>
              <w:rPr>
                <w:rFonts w:hint="eastAsia"/>
                <w:sz w:val="22"/>
                <w:szCs w:val="22"/>
              </w:rPr>
              <w:t xml:space="preserve"> = 1</w:t>
            </w:r>
          </w:p>
          <w:p w14:paraId="5D923642">
            <w:pPr>
              <w:adjustRightInd w:val="0"/>
              <w:snapToGrid w:val="0"/>
              <w:spacing w:line="240" w:lineRule="auto"/>
              <w:jc w:val="left"/>
              <w:rPr>
                <w:sz w:val="22"/>
                <w:szCs w:val="22"/>
              </w:rPr>
            </w:pPr>
            <w:r>
              <w:rPr>
                <w:rFonts w:hint="eastAsia"/>
                <w:sz w:val="22"/>
                <w:szCs w:val="22"/>
              </w:rPr>
              <w:t xml:space="preserve">c) Deviation from the terms in both </w:t>
            </w:r>
            <w:r>
              <w:rPr>
                <w:rFonts w:hint="eastAsia"/>
                <w:sz w:val="22"/>
                <w:szCs w:val="22"/>
                <w:lang w:val="en-US" w:eastAsia="zh-CN"/>
              </w:rPr>
              <w:t>form</w:t>
            </w:r>
            <w:r>
              <w:rPr>
                <w:rFonts w:hint="eastAsia"/>
                <w:sz w:val="22"/>
                <w:szCs w:val="22"/>
              </w:rPr>
              <w:t>s = 0</w:t>
            </w:r>
          </w:p>
        </w:tc>
        <w:tc>
          <w:tcPr>
            <w:tcW w:w="2227" w:type="dxa"/>
            <w:tcBorders>
              <w:top w:val="single" w:color="auto" w:sz="4" w:space="0"/>
              <w:left w:val="nil"/>
              <w:bottom w:val="single" w:color="auto" w:sz="4" w:space="0"/>
              <w:right w:val="single" w:color="auto" w:sz="4" w:space="0"/>
            </w:tcBorders>
            <w:vAlign w:val="center"/>
          </w:tcPr>
          <w:p w14:paraId="6BA7CE9C">
            <w:pPr>
              <w:adjustRightInd w:val="0"/>
              <w:snapToGrid w:val="0"/>
              <w:spacing w:line="240" w:lineRule="auto"/>
              <w:jc w:val="center"/>
              <w:rPr>
                <w:sz w:val="22"/>
                <w:szCs w:val="22"/>
              </w:rPr>
            </w:pPr>
            <w:r>
              <w:rPr>
                <w:sz w:val="22"/>
                <w:szCs w:val="22"/>
              </w:rPr>
              <w:t>2</w:t>
            </w:r>
          </w:p>
        </w:tc>
      </w:tr>
      <w:tr w14:paraId="7E72E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2BD6BCCF">
            <w:pPr>
              <w:adjustRightInd w:val="0"/>
              <w:snapToGrid w:val="0"/>
              <w:spacing w:line="240" w:lineRule="auto"/>
              <w:jc w:val="center"/>
              <w:rPr>
                <w:b/>
                <w:bCs/>
                <w:sz w:val="22"/>
                <w:szCs w:val="22"/>
                <w:lang w:eastAsia="zh-CN"/>
              </w:rPr>
            </w:pPr>
            <w:r>
              <w:rPr>
                <w:rFonts w:hint="eastAsia"/>
                <w:b/>
                <w:bCs/>
                <w:sz w:val="22"/>
                <w:szCs w:val="22"/>
                <w:lang w:eastAsia="zh-CN"/>
              </w:rPr>
              <w:t>3</w:t>
            </w:r>
          </w:p>
        </w:tc>
        <w:tc>
          <w:tcPr>
            <w:tcW w:w="5981" w:type="dxa"/>
            <w:tcBorders>
              <w:top w:val="single" w:color="auto" w:sz="4" w:space="0"/>
              <w:left w:val="nil"/>
              <w:bottom w:val="single" w:color="auto" w:sz="4" w:space="0"/>
              <w:right w:val="single" w:color="auto" w:sz="4" w:space="0"/>
            </w:tcBorders>
            <w:vAlign w:val="center"/>
          </w:tcPr>
          <w:p w14:paraId="5EE993C1">
            <w:pPr>
              <w:adjustRightInd w:val="0"/>
              <w:snapToGrid w:val="0"/>
              <w:spacing w:line="240" w:lineRule="auto"/>
              <w:jc w:val="left"/>
              <w:rPr>
                <w:rFonts w:hint="eastAsia" w:eastAsia="宋体"/>
                <w:b/>
                <w:bCs/>
                <w:sz w:val="22"/>
                <w:szCs w:val="22"/>
                <w:lang w:val="en-US" w:eastAsia="zh-CN"/>
              </w:rPr>
            </w:pPr>
            <w:r>
              <w:rPr>
                <w:rFonts w:hint="eastAsia"/>
                <w:sz w:val="22"/>
                <w:szCs w:val="22"/>
              </w:rPr>
              <w:t>Record of</w:t>
            </w:r>
            <w:r>
              <w:rPr>
                <w:rFonts w:hint="eastAsia"/>
                <w:sz w:val="22"/>
                <w:szCs w:val="22"/>
                <w:lang w:val="en-US" w:eastAsia="zh-CN"/>
              </w:rPr>
              <w:t xml:space="preserve"> corruption, fraud, administrative punishment,</w:t>
            </w:r>
            <w:r>
              <w:rPr>
                <w:rFonts w:hint="eastAsia"/>
                <w:sz w:val="22"/>
                <w:szCs w:val="22"/>
              </w:rPr>
              <w:t xml:space="preserve"> </w:t>
            </w:r>
            <w:r>
              <w:rPr>
                <w:rFonts w:hint="eastAsia"/>
                <w:sz w:val="22"/>
                <w:szCs w:val="22"/>
                <w:lang w:eastAsia="zh-CN"/>
              </w:rPr>
              <w:t>collusion</w:t>
            </w:r>
            <w:r>
              <w:rPr>
                <w:rFonts w:hint="eastAsia"/>
                <w:sz w:val="22"/>
                <w:szCs w:val="22"/>
              </w:rPr>
              <w:t xml:space="preserve"> of bid-rigging</w:t>
            </w:r>
            <w:r>
              <w:rPr>
                <w:sz w:val="22"/>
                <w:szCs w:val="22"/>
              </w:rPr>
              <w:t xml:space="preserve"> (20</w:t>
            </w:r>
            <w:r>
              <w:rPr>
                <w:rFonts w:hint="eastAsia"/>
                <w:sz w:val="22"/>
                <w:szCs w:val="22"/>
                <w:lang w:val="en-US" w:eastAsia="zh-CN"/>
              </w:rPr>
              <w:t>0</w:t>
            </w:r>
            <w:r>
              <w:rPr>
                <w:sz w:val="22"/>
                <w:szCs w:val="22"/>
              </w:rPr>
              <w:t>9-the deadline for bid submission)</w:t>
            </w:r>
            <w:r>
              <w:rPr>
                <w:rFonts w:hint="eastAsia"/>
                <w:sz w:val="22"/>
                <w:szCs w:val="22"/>
                <w:lang w:val="en-US" w:eastAsia="zh-CN"/>
              </w:rPr>
              <w:t xml:space="preserve"> </w:t>
            </w:r>
            <w:r>
              <w:rPr>
                <w:sz w:val="22"/>
                <w:szCs w:val="22"/>
              </w:rPr>
              <w:t xml:space="preserve">The bidder should submit a statement. </w:t>
            </w:r>
          </w:p>
          <w:p w14:paraId="50B7F9A4">
            <w:pPr>
              <w:adjustRightInd w:val="0"/>
              <w:snapToGrid w:val="0"/>
              <w:spacing w:line="240" w:lineRule="auto"/>
              <w:jc w:val="left"/>
              <w:rPr>
                <w:sz w:val="22"/>
                <w:szCs w:val="22"/>
              </w:rPr>
            </w:pPr>
            <w:r>
              <w:rPr>
                <w:sz w:val="22"/>
                <w:szCs w:val="22"/>
              </w:rPr>
              <w:t>The Bidders will be graded</w:t>
            </w:r>
            <w:r>
              <w:rPr>
                <w:rFonts w:hint="eastAsia"/>
                <w:sz w:val="22"/>
                <w:szCs w:val="22"/>
                <w:lang w:val="en-US" w:eastAsia="zh-CN"/>
              </w:rPr>
              <w:t xml:space="preserve"> b</w:t>
            </w:r>
            <w:r>
              <w:rPr>
                <w:sz w:val="22"/>
                <w:szCs w:val="22"/>
              </w:rPr>
              <w:t xml:space="preserve">ased on the status of their involvement in </w:t>
            </w:r>
            <w:r>
              <w:rPr>
                <w:rFonts w:hint="eastAsia"/>
                <w:sz w:val="22"/>
                <w:szCs w:val="22"/>
              </w:rPr>
              <w:t>bid-rigging</w:t>
            </w:r>
            <w:r>
              <w:rPr>
                <w:sz w:val="22"/>
                <w:szCs w:val="22"/>
              </w:rPr>
              <w:t>. The bidder should submit a statement. The standard of the gradings are set out below:</w:t>
            </w:r>
          </w:p>
          <w:p w14:paraId="5C03A382">
            <w:pPr>
              <w:adjustRightInd w:val="0"/>
              <w:snapToGrid w:val="0"/>
              <w:spacing w:line="240" w:lineRule="auto"/>
              <w:jc w:val="left"/>
              <w:rPr>
                <w:sz w:val="22"/>
                <w:szCs w:val="22"/>
                <w:lang w:eastAsia="zh-CN"/>
              </w:rPr>
            </w:pPr>
            <w:r>
              <w:rPr>
                <w:sz w:val="22"/>
                <w:szCs w:val="22"/>
              </w:rPr>
              <w:t xml:space="preserve">(a) No </w:t>
            </w:r>
            <w:r>
              <w:rPr>
                <w:rFonts w:hint="eastAsia"/>
                <w:sz w:val="22"/>
                <w:szCs w:val="22"/>
                <w:lang w:eastAsia="zh-CN"/>
              </w:rPr>
              <w:t>r</w:t>
            </w:r>
            <w:r>
              <w:rPr>
                <w:rFonts w:hint="eastAsia"/>
                <w:sz w:val="22"/>
                <w:szCs w:val="22"/>
              </w:rPr>
              <w:t xml:space="preserve">ecord of </w:t>
            </w:r>
            <w:r>
              <w:rPr>
                <w:rFonts w:hint="eastAsia"/>
                <w:sz w:val="22"/>
                <w:szCs w:val="22"/>
                <w:lang w:val="en-US" w:eastAsia="zh-CN"/>
              </w:rPr>
              <w:t>corruption, fraud, administrative punishment,</w:t>
            </w:r>
            <w:r>
              <w:rPr>
                <w:rFonts w:hint="eastAsia"/>
                <w:sz w:val="22"/>
                <w:szCs w:val="22"/>
              </w:rPr>
              <w:t xml:space="preserve"> </w:t>
            </w:r>
            <w:r>
              <w:rPr>
                <w:rFonts w:hint="eastAsia"/>
                <w:sz w:val="22"/>
                <w:szCs w:val="22"/>
                <w:lang w:eastAsia="zh-CN"/>
              </w:rPr>
              <w:t>collusion</w:t>
            </w:r>
            <w:r>
              <w:rPr>
                <w:rFonts w:hint="eastAsia"/>
                <w:sz w:val="22"/>
                <w:szCs w:val="22"/>
              </w:rPr>
              <w:t xml:space="preserve"> of bid-rigging</w:t>
            </w:r>
            <w:r>
              <w:rPr>
                <w:sz w:val="22"/>
                <w:szCs w:val="22"/>
              </w:rPr>
              <w:t>=</w:t>
            </w:r>
            <w:r>
              <w:rPr>
                <w:rFonts w:hint="eastAsia"/>
                <w:sz w:val="22"/>
                <w:szCs w:val="22"/>
                <w:lang w:eastAsia="zh-CN"/>
              </w:rPr>
              <w:t>3</w:t>
            </w:r>
          </w:p>
          <w:p w14:paraId="0178F53F">
            <w:pPr>
              <w:adjustRightInd w:val="0"/>
              <w:snapToGrid w:val="0"/>
              <w:spacing w:line="240" w:lineRule="auto"/>
              <w:jc w:val="left"/>
              <w:rPr>
                <w:sz w:val="22"/>
                <w:szCs w:val="22"/>
              </w:rPr>
            </w:pPr>
            <w:r>
              <w:rPr>
                <w:sz w:val="22"/>
                <w:szCs w:val="22"/>
              </w:rPr>
              <w:t xml:space="preserve">(b) </w:t>
            </w:r>
            <w:r>
              <w:rPr>
                <w:rFonts w:hint="eastAsia"/>
                <w:sz w:val="22"/>
                <w:szCs w:val="22"/>
                <w:lang w:eastAsia="zh-CN"/>
              </w:rPr>
              <w:t xml:space="preserve">Has </w:t>
            </w:r>
            <w:r>
              <w:rPr>
                <w:sz w:val="22"/>
                <w:szCs w:val="22"/>
              </w:rPr>
              <w:t xml:space="preserve"> </w:t>
            </w:r>
            <w:r>
              <w:rPr>
                <w:rFonts w:hint="eastAsia"/>
                <w:sz w:val="22"/>
                <w:szCs w:val="22"/>
                <w:lang w:eastAsia="zh-CN"/>
              </w:rPr>
              <w:t>r</w:t>
            </w:r>
            <w:r>
              <w:rPr>
                <w:rFonts w:hint="eastAsia"/>
                <w:sz w:val="22"/>
                <w:szCs w:val="22"/>
              </w:rPr>
              <w:t xml:space="preserve">ecord of </w:t>
            </w:r>
            <w:r>
              <w:rPr>
                <w:rFonts w:hint="eastAsia"/>
                <w:sz w:val="22"/>
                <w:szCs w:val="22"/>
                <w:lang w:val="en-US" w:eastAsia="zh-CN"/>
              </w:rPr>
              <w:t>corruption, fraud, administrative punishment,</w:t>
            </w:r>
            <w:r>
              <w:rPr>
                <w:rFonts w:hint="eastAsia"/>
                <w:sz w:val="22"/>
                <w:szCs w:val="22"/>
              </w:rPr>
              <w:t xml:space="preserve"> </w:t>
            </w:r>
            <w:r>
              <w:rPr>
                <w:rFonts w:hint="eastAsia"/>
                <w:sz w:val="22"/>
                <w:szCs w:val="22"/>
                <w:lang w:eastAsia="zh-CN"/>
              </w:rPr>
              <w:t>collusion</w:t>
            </w:r>
            <w:r>
              <w:rPr>
                <w:rFonts w:hint="eastAsia"/>
                <w:sz w:val="22"/>
                <w:szCs w:val="22"/>
              </w:rPr>
              <w:t xml:space="preserve"> of bid-rigging</w:t>
            </w:r>
            <w:r>
              <w:rPr>
                <w:rFonts w:hint="eastAsia"/>
                <w:sz w:val="22"/>
                <w:szCs w:val="22"/>
                <w:lang w:eastAsia="zh-CN"/>
              </w:rPr>
              <w:t xml:space="preserve"> </w:t>
            </w:r>
            <w:r>
              <w:rPr>
                <w:sz w:val="22"/>
                <w:szCs w:val="22"/>
              </w:rPr>
              <w:t>=0</w:t>
            </w:r>
          </w:p>
          <w:p w14:paraId="450F9BA2">
            <w:pPr>
              <w:adjustRightInd w:val="0"/>
              <w:snapToGrid w:val="0"/>
              <w:spacing w:line="240" w:lineRule="auto"/>
              <w:jc w:val="left"/>
              <w:rPr>
                <w:sz w:val="22"/>
                <w:szCs w:val="22"/>
              </w:rPr>
            </w:pPr>
            <w:r>
              <w:rPr>
                <w:rFonts w:hint="eastAsia"/>
                <w:sz w:val="22"/>
                <w:szCs w:val="22"/>
              </w:rPr>
              <w:t xml:space="preserve">If the statement is not provided or if a conditional statement is provided or if the records in the statement are incomplete, </w:t>
            </w:r>
            <w:r>
              <w:rPr>
                <w:rFonts w:hint="eastAsia"/>
                <w:sz w:val="22"/>
                <w:szCs w:val="22"/>
                <w:lang w:eastAsia="zh-CN"/>
              </w:rPr>
              <w:t>0</w:t>
            </w:r>
            <w:r>
              <w:rPr>
                <w:rFonts w:hint="eastAsia"/>
                <w:sz w:val="22"/>
                <w:szCs w:val="22"/>
              </w:rPr>
              <w:t xml:space="preserve"> points will be awarded for this item</w:t>
            </w:r>
          </w:p>
        </w:tc>
        <w:tc>
          <w:tcPr>
            <w:tcW w:w="2227" w:type="dxa"/>
            <w:tcBorders>
              <w:top w:val="single" w:color="auto" w:sz="4" w:space="0"/>
              <w:left w:val="nil"/>
              <w:bottom w:val="single" w:color="auto" w:sz="4" w:space="0"/>
              <w:right w:val="single" w:color="auto" w:sz="4" w:space="0"/>
            </w:tcBorders>
            <w:vAlign w:val="center"/>
          </w:tcPr>
          <w:p w14:paraId="561205F7">
            <w:pPr>
              <w:adjustRightInd w:val="0"/>
              <w:snapToGrid w:val="0"/>
              <w:spacing w:line="240" w:lineRule="auto"/>
              <w:jc w:val="center"/>
              <w:rPr>
                <w:sz w:val="22"/>
                <w:szCs w:val="22"/>
                <w:lang w:eastAsia="zh-CN"/>
              </w:rPr>
            </w:pPr>
            <w:r>
              <w:rPr>
                <w:rFonts w:hint="eastAsia"/>
                <w:sz w:val="22"/>
                <w:szCs w:val="22"/>
                <w:lang w:eastAsia="zh-CN"/>
              </w:rPr>
              <w:t>3</w:t>
            </w:r>
          </w:p>
        </w:tc>
      </w:tr>
      <w:tr w14:paraId="1505C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1"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5D425E42">
            <w:pPr>
              <w:adjustRightInd w:val="0"/>
              <w:snapToGrid w:val="0"/>
              <w:spacing w:line="240" w:lineRule="auto"/>
              <w:jc w:val="center"/>
              <w:rPr>
                <w:b/>
                <w:bCs/>
                <w:sz w:val="22"/>
                <w:szCs w:val="22"/>
                <w:lang w:eastAsia="zh-CN"/>
              </w:rPr>
            </w:pPr>
            <w:r>
              <w:rPr>
                <w:rFonts w:hint="eastAsia"/>
                <w:b/>
                <w:bCs/>
                <w:sz w:val="22"/>
                <w:szCs w:val="22"/>
                <w:lang w:eastAsia="zh-CN"/>
              </w:rPr>
              <w:t>4</w:t>
            </w:r>
          </w:p>
        </w:tc>
        <w:tc>
          <w:tcPr>
            <w:tcW w:w="5981" w:type="dxa"/>
            <w:tcBorders>
              <w:top w:val="single" w:color="auto" w:sz="4" w:space="0"/>
              <w:left w:val="nil"/>
              <w:bottom w:val="single" w:color="auto" w:sz="4" w:space="0"/>
              <w:right w:val="single" w:color="auto" w:sz="4" w:space="0"/>
            </w:tcBorders>
          </w:tcPr>
          <w:p w14:paraId="1037DFAA">
            <w:pPr>
              <w:spacing w:line="240" w:lineRule="auto"/>
              <w:jc w:val="left"/>
              <w:rPr>
                <w:sz w:val="22"/>
                <w:szCs w:val="22"/>
                <w:lang w:eastAsia="zh-CN"/>
              </w:rPr>
            </w:pPr>
            <w:r>
              <w:rPr>
                <w:sz w:val="22"/>
                <w:szCs w:val="22"/>
              </w:rPr>
              <w:t xml:space="preserve">Project implementation capacity: </w:t>
            </w:r>
          </w:p>
          <w:p w14:paraId="0594BEA8">
            <w:pPr>
              <w:spacing w:line="240" w:lineRule="auto"/>
              <w:rPr>
                <w:b/>
                <w:bCs/>
                <w:sz w:val="22"/>
                <w:szCs w:val="22"/>
              </w:rPr>
            </w:pPr>
            <w:r>
              <w:rPr>
                <w:sz w:val="22"/>
                <w:szCs w:val="22"/>
              </w:rPr>
              <w:t xml:space="preserve">To evaluate the project performance of bidders as Tender winner who won the bids, signed contracts, executed and completed medical equipment projects </w:t>
            </w:r>
            <w:r>
              <w:rPr>
                <w:rFonts w:hint="eastAsia"/>
                <w:sz w:val="22"/>
                <w:szCs w:val="22"/>
                <w:lang w:val="en-US" w:eastAsia="zh-CN"/>
              </w:rPr>
              <w:t xml:space="preserve">in China </w:t>
            </w:r>
            <w:r>
              <w:rPr>
                <w:sz w:val="22"/>
                <w:szCs w:val="22"/>
              </w:rPr>
              <w:t>that financed by foreign government loan or international financing institutions loan from 20</w:t>
            </w:r>
            <w:r>
              <w:rPr>
                <w:rFonts w:hint="eastAsia"/>
                <w:sz w:val="22"/>
                <w:szCs w:val="22"/>
                <w:lang w:val="en-US" w:eastAsia="zh-CN"/>
              </w:rPr>
              <w:t>0</w:t>
            </w:r>
            <w:r>
              <w:rPr>
                <w:sz w:val="22"/>
                <w:szCs w:val="22"/>
              </w:rPr>
              <w:t>9 till now, the amount of a sin</w:t>
            </w:r>
            <w:bookmarkStart w:id="13" w:name="_GoBack"/>
            <w:bookmarkEnd w:id="13"/>
            <w:r>
              <w:rPr>
                <w:sz w:val="22"/>
                <w:szCs w:val="22"/>
              </w:rPr>
              <w:t>gle contract shall not be less than 4 million euros or equivalent. (Relevant proof shall be presented as follows: 1. Copies of Notification of Award; and 2. Copies of supply contract include home page, price page, signature page; and 3. copies of Final Acceptance Certification issued by the End-user shall be provided. All the aforesaid materials should be issued after January 1st, 20</w:t>
            </w:r>
            <w:r>
              <w:rPr>
                <w:rFonts w:hint="eastAsia"/>
                <w:sz w:val="22"/>
                <w:szCs w:val="22"/>
                <w:lang w:val="en-US" w:eastAsia="zh-CN"/>
              </w:rPr>
              <w:t>0</w:t>
            </w:r>
            <w:r>
              <w:rPr>
                <w:sz w:val="22"/>
                <w:szCs w:val="22"/>
              </w:rPr>
              <w:t>9, and the contact information of the End-user shall be provided for verification.)</w:t>
            </w:r>
          </w:p>
        </w:tc>
        <w:tc>
          <w:tcPr>
            <w:tcW w:w="2227" w:type="dxa"/>
            <w:tcBorders>
              <w:top w:val="single" w:color="auto" w:sz="4" w:space="0"/>
              <w:left w:val="nil"/>
              <w:bottom w:val="single" w:color="auto" w:sz="4" w:space="0"/>
              <w:right w:val="single" w:color="auto" w:sz="4" w:space="0"/>
            </w:tcBorders>
          </w:tcPr>
          <w:p w14:paraId="3E1A6F76">
            <w:pPr>
              <w:spacing w:line="240" w:lineRule="auto"/>
              <w:jc w:val="left"/>
              <w:rPr>
                <w:sz w:val="22"/>
                <w:szCs w:val="22"/>
              </w:rPr>
            </w:pPr>
            <w:r>
              <w:rPr>
                <w:sz w:val="22"/>
                <w:szCs w:val="22"/>
              </w:rPr>
              <w:t xml:space="preserve">Ranking according to the </w:t>
            </w:r>
            <w:r>
              <w:rPr>
                <w:sz w:val="22"/>
                <w:szCs w:val="22"/>
                <w:lang w:eastAsia="zh-CN"/>
              </w:rPr>
              <w:t xml:space="preserve">number of the quantity of medical </w:t>
            </w:r>
            <w:r>
              <w:rPr>
                <w:rFonts w:hint="eastAsia"/>
                <w:sz w:val="22"/>
                <w:szCs w:val="22"/>
                <w:lang w:val="en-US" w:eastAsia="zh-CN"/>
              </w:rPr>
              <w:t xml:space="preserve">equipment </w:t>
            </w:r>
            <w:r>
              <w:rPr>
                <w:sz w:val="22"/>
                <w:szCs w:val="22"/>
                <w:lang w:eastAsia="zh-CN"/>
              </w:rPr>
              <w:t>procurement</w:t>
            </w:r>
            <w:r>
              <w:rPr>
                <w:rFonts w:hint="eastAsia"/>
                <w:sz w:val="22"/>
                <w:szCs w:val="22"/>
                <w:lang w:val="en-US" w:eastAsia="zh-CN"/>
              </w:rPr>
              <w:t xml:space="preserve"> </w:t>
            </w:r>
            <w:r>
              <w:rPr>
                <w:sz w:val="22"/>
                <w:szCs w:val="22"/>
                <w:lang w:eastAsia="zh-CN"/>
              </w:rPr>
              <w:t xml:space="preserve"> contracts</w:t>
            </w:r>
            <w:r>
              <w:rPr>
                <w:sz w:val="22"/>
                <w:szCs w:val="22"/>
              </w:rPr>
              <w:t>:</w:t>
            </w:r>
          </w:p>
          <w:p w14:paraId="7F8B259A">
            <w:pPr>
              <w:spacing w:line="240" w:lineRule="auto"/>
              <w:jc w:val="left"/>
              <w:rPr>
                <w:sz w:val="22"/>
                <w:szCs w:val="22"/>
              </w:rPr>
            </w:pPr>
            <w:r>
              <w:rPr>
                <w:sz w:val="22"/>
                <w:szCs w:val="22"/>
              </w:rPr>
              <w:t xml:space="preserve">a) No.1 bidder =2 </w:t>
            </w:r>
          </w:p>
          <w:p w14:paraId="00C97DB2">
            <w:pPr>
              <w:spacing w:line="240" w:lineRule="auto"/>
              <w:jc w:val="left"/>
              <w:rPr>
                <w:sz w:val="22"/>
                <w:szCs w:val="22"/>
                <w:lang w:eastAsia="zh-CN"/>
              </w:rPr>
            </w:pPr>
            <w:r>
              <w:rPr>
                <w:sz w:val="22"/>
                <w:szCs w:val="22"/>
              </w:rPr>
              <w:t>b) No.2 bidder =1</w:t>
            </w:r>
          </w:p>
          <w:p w14:paraId="055E1EF9">
            <w:pPr>
              <w:spacing w:line="240" w:lineRule="auto"/>
              <w:jc w:val="left"/>
              <w:rPr>
                <w:sz w:val="22"/>
                <w:szCs w:val="22"/>
                <w:lang w:eastAsia="zh-CN"/>
              </w:rPr>
            </w:pPr>
            <w:r>
              <w:rPr>
                <w:sz w:val="22"/>
                <w:szCs w:val="22"/>
              </w:rPr>
              <w:t>c) No.3 bidder =</w:t>
            </w:r>
            <w:r>
              <w:rPr>
                <w:sz w:val="22"/>
                <w:szCs w:val="22"/>
                <w:lang w:eastAsia="zh-CN"/>
              </w:rPr>
              <w:t>0.5</w:t>
            </w:r>
          </w:p>
          <w:p w14:paraId="1CA57E0F">
            <w:pPr>
              <w:spacing w:line="240" w:lineRule="auto"/>
              <w:jc w:val="left"/>
              <w:rPr>
                <w:sz w:val="22"/>
                <w:szCs w:val="22"/>
                <w:lang w:eastAsia="zh-CN"/>
              </w:rPr>
            </w:pPr>
            <w:r>
              <w:rPr>
                <w:sz w:val="22"/>
                <w:szCs w:val="22"/>
              </w:rPr>
              <w:t>d) No.4 bidder and below=0</w:t>
            </w:r>
          </w:p>
          <w:p w14:paraId="4E4ABD7D">
            <w:pPr>
              <w:spacing w:line="240" w:lineRule="auto"/>
              <w:jc w:val="left"/>
              <w:rPr>
                <w:sz w:val="22"/>
                <w:szCs w:val="22"/>
              </w:rPr>
            </w:pPr>
          </w:p>
          <w:p w14:paraId="5E7785FD">
            <w:pPr>
              <w:spacing w:line="240" w:lineRule="auto"/>
              <w:jc w:val="left"/>
              <w:rPr>
                <w:b/>
                <w:bCs/>
                <w:sz w:val="22"/>
                <w:szCs w:val="22"/>
                <w:lang w:eastAsia="zh-CN"/>
              </w:rPr>
            </w:pPr>
          </w:p>
        </w:tc>
      </w:tr>
      <w:tr w14:paraId="1FCE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4" w:type="dxa"/>
            <w:tcBorders>
              <w:top w:val="single" w:color="auto" w:sz="4" w:space="0"/>
              <w:left w:val="single" w:color="auto" w:sz="4" w:space="0"/>
              <w:bottom w:val="single" w:color="auto" w:sz="4" w:space="0"/>
              <w:right w:val="single" w:color="auto" w:sz="4" w:space="0"/>
            </w:tcBorders>
            <w:vAlign w:val="center"/>
          </w:tcPr>
          <w:p w14:paraId="28799C8B">
            <w:pPr>
              <w:adjustRightInd w:val="0"/>
              <w:snapToGrid w:val="0"/>
              <w:spacing w:line="240" w:lineRule="auto"/>
              <w:jc w:val="center"/>
              <w:rPr>
                <w:b/>
                <w:bCs/>
                <w:sz w:val="22"/>
                <w:szCs w:val="22"/>
              </w:rPr>
            </w:pPr>
          </w:p>
        </w:tc>
        <w:tc>
          <w:tcPr>
            <w:tcW w:w="5981" w:type="dxa"/>
            <w:tcBorders>
              <w:top w:val="single" w:color="auto" w:sz="4" w:space="0"/>
              <w:left w:val="nil"/>
              <w:bottom w:val="single" w:color="auto" w:sz="4" w:space="0"/>
              <w:right w:val="single" w:color="auto" w:sz="4" w:space="0"/>
            </w:tcBorders>
            <w:vAlign w:val="center"/>
          </w:tcPr>
          <w:p w14:paraId="0E6BC92D">
            <w:pPr>
              <w:adjustRightInd w:val="0"/>
              <w:snapToGrid w:val="0"/>
              <w:spacing w:line="240" w:lineRule="auto"/>
              <w:rPr>
                <w:b/>
                <w:bCs/>
                <w:sz w:val="22"/>
                <w:szCs w:val="22"/>
              </w:rPr>
            </w:pPr>
            <w:r>
              <w:rPr>
                <w:b/>
                <w:bCs/>
                <w:sz w:val="22"/>
                <w:szCs w:val="22"/>
              </w:rPr>
              <w:t>Total</w:t>
            </w:r>
          </w:p>
        </w:tc>
        <w:tc>
          <w:tcPr>
            <w:tcW w:w="2227" w:type="dxa"/>
            <w:tcBorders>
              <w:top w:val="single" w:color="auto" w:sz="4" w:space="0"/>
              <w:left w:val="nil"/>
              <w:bottom w:val="single" w:color="auto" w:sz="4" w:space="0"/>
              <w:right w:val="single" w:color="auto" w:sz="4" w:space="0"/>
            </w:tcBorders>
            <w:vAlign w:val="center"/>
          </w:tcPr>
          <w:p w14:paraId="6956F848">
            <w:pPr>
              <w:adjustRightInd w:val="0"/>
              <w:snapToGrid w:val="0"/>
              <w:spacing w:line="240" w:lineRule="auto"/>
              <w:jc w:val="center"/>
              <w:rPr>
                <w:b/>
                <w:bCs/>
                <w:sz w:val="22"/>
                <w:szCs w:val="22"/>
                <w:lang w:eastAsia="zh-CN"/>
              </w:rPr>
            </w:pPr>
            <w:r>
              <w:rPr>
                <w:rFonts w:hint="eastAsia"/>
                <w:b/>
                <w:bCs/>
                <w:sz w:val="22"/>
                <w:szCs w:val="22"/>
                <w:lang w:eastAsia="zh-CN"/>
              </w:rPr>
              <w:t>10</w:t>
            </w:r>
          </w:p>
        </w:tc>
      </w:tr>
    </w:tbl>
    <w:p w14:paraId="280B3CBE">
      <w:pPr>
        <w:tabs>
          <w:tab w:val="left" w:pos="851"/>
        </w:tabs>
        <w:adjustRightInd w:val="0"/>
        <w:snapToGrid w:val="0"/>
        <w:spacing w:after="120" w:afterLines="50" w:line="360" w:lineRule="auto"/>
        <w:ind w:left="425" w:leftChars="177"/>
        <w:rPr>
          <w:b/>
          <w:sz w:val="20"/>
          <w:lang w:eastAsia="zh-CN"/>
        </w:rPr>
      </w:pPr>
      <w:r>
        <w:rPr>
          <w:sz w:val="20"/>
        </w:rPr>
        <w:t xml:space="preserve">The committee will give the same score to all bidders who demonstrate the same or equivalent capability in the relevant criteria above. Should there be any 2 bidders being given the same score, the next bidder will be given the next score in sequence. </w:t>
      </w:r>
    </w:p>
    <w:sectPr>
      <w:headerReference r:id="rId5" w:type="first"/>
      <w:headerReference r:id="rId3" w:type="default"/>
      <w:footerReference r:id="rId6" w:type="default"/>
      <w:headerReference r:id="rId4" w:type="even"/>
      <w:footerReference r:id="rId7" w:type="even"/>
      <w:pgSz w:w="12240" w:h="15840"/>
      <w:pgMar w:top="1440" w:right="1701" w:bottom="1440" w:left="1701" w:header="720" w:footer="720" w:gutter="0"/>
      <w:paperSrc w:first="7" w:other="7"/>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0" w:usb3="00000000" w:csb0="00040001" w:csb1="00000000"/>
  </w:font>
  <w:font w:name="Optima">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Times">
    <w:altName w:val="Times New Roman"/>
    <w:panose1 w:val="02020603050405020304"/>
    <w:charset w:val="00"/>
    <w:family w:val="roman"/>
    <w:pitch w:val="default"/>
    <w:sig w:usb0="00000000" w:usb1="00000000" w:usb2="00000009" w:usb3="00000000" w:csb0="000001FF" w:csb1="00000000"/>
  </w:font>
  <w:font w:name="Minion Pro">
    <w:altName w:val="Segoe Print"/>
    <w:panose1 w:val="00000000000000000000"/>
    <w:charset w:val="00"/>
    <w:family w:val="roman"/>
    <w:pitch w:val="default"/>
    <w:sig w:usb0="00000000" w:usb1="00000000" w:usb2="00000000" w:usb3="00000000" w:csb0="0000019F" w:csb1="00000000"/>
  </w:font>
  <w:font w:name="Tms Rmn">
    <w:altName w:val="Times New Roman"/>
    <w:panose1 w:val="02020603040505020304"/>
    <w:charset w:val="00"/>
    <w:family w:val="roman"/>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26F371">
    <w:pPr>
      <w:pStyle w:val="55"/>
      <w:pBdr>
        <w:top w:val="single" w:color="auto" w:sz="4" w:space="1"/>
      </w:pBdr>
      <w:tabs>
        <w:tab w:val="center" w:pos="4770"/>
        <w:tab w:val="right" w:pos="9180"/>
      </w:tabs>
      <w:rPr>
        <w:lang w:eastAsia="zh-CN"/>
      </w:rPr>
    </w:pPr>
    <w:bookmarkStart w:id="11" w:name="_Hlk526015024"/>
    <w:bookmarkStart w:id="12" w:name="_Hlk526015023"/>
    <w:r>
      <w:rPr>
        <w:sz w:val="18"/>
        <w:szCs w:val="18"/>
      </w:rPr>
      <w:t>Bidding Document for</w:t>
    </w:r>
    <w:r>
      <w:rPr>
        <w:sz w:val="18"/>
        <w:szCs w:val="18"/>
        <w:lang w:eastAsia="zh-CN"/>
      </w:rPr>
      <w:t xml:space="preserve"> Wenshan Zhuang and Miao Autonomous Prefecture Hospital of Traditional Chinese Medicine  Utilizing German Promotional Loan </w:t>
    </w:r>
    <w:bookmarkEnd w:id="11"/>
    <w:bookmarkEnd w:id="12"/>
    <w:r>
      <w:rPr>
        <w:sz w:val="18"/>
        <w:szCs w:val="18"/>
        <w:lang w:eastAsia="zh-CN"/>
      </w:rPr>
      <w:t xml:space="preserve">                </w:t>
    </w:r>
    <w:r>
      <w:rPr>
        <w:sz w:val="18"/>
        <w:szCs w:val="18"/>
      </w:rPr>
      <w:t>Package 0</w:t>
    </w:r>
    <w:r>
      <w:rPr>
        <w:rFonts w:hint="eastAsia"/>
        <w:sz w:val="18"/>
        <w:szCs w:val="18"/>
        <w:lang w:eastAsia="zh-CN"/>
      </w:rPr>
      <w:t>4</w:t>
    </w:r>
    <w:r>
      <w:rPr>
        <w:sz w:val="18"/>
        <w:szCs w:val="18"/>
      </w:rPr>
      <w:t>: Procurement of Medical equipment for New Hospital and Senior Care Area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AC244">
    <w:pPr>
      <w:pStyle w:val="55"/>
      <w:pBdr>
        <w:top w:val="single" w:color="auto" w:sz="4" w:space="1"/>
      </w:pBdr>
      <w:tabs>
        <w:tab w:val="center" w:pos="4770"/>
        <w:tab w:val="right" w:pos="9180"/>
      </w:tabs>
      <w:rPr>
        <w:rFonts w:ascii="Arial" w:hAnsi="Arial" w:cs="Arial"/>
        <w:sz w:val="16"/>
        <w:szCs w:val="16"/>
        <w:lang w:eastAsia="zh-CN"/>
      </w:rPr>
    </w:pPr>
    <w:r>
      <w:rPr>
        <w:sz w:val="18"/>
        <w:szCs w:val="18"/>
      </w:rPr>
      <w:t>Bidding Document for</w:t>
    </w:r>
    <w:r>
      <w:rPr>
        <w:sz w:val="18"/>
        <w:szCs w:val="18"/>
        <w:lang w:eastAsia="zh-CN"/>
      </w:rPr>
      <w:t xml:space="preserve"> Wenshan Zhuang and Miao Autonomous Prefecture Hospital of Traditional Chinese Medicine  Utilizing German Promotional Loan                 </w:t>
    </w:r>
    <w:r>
      <w:rPr>
        <w:sz w:val="18"/>
        <w:szCs w:val="18"/>
      </w:rPr>
      <w:t>Package 0</w:t>
    </w:r>
    <w:r>
      <w:rPr>
        <w:rFonts w:hint="eastAsia"/>
        <w:sz w:val="18"/>
        <w:szCs w:val="18"/>
        <w:lang w:eastAsia="zh-CN"/>
      </w:rPr>
      <w:t>4</w:t>
    </w:r>
    <w:r>
      <w:rPr>
        <w:sz w:val="18"/>
        <w:szCs w:val="18"/>
      </w:rPr>
      <w:t>: Procurement of Medical equipment for New Hospital and Senior Care Are</w:t>
    </w:r>
    <w:r>
      <w:rPr>
        <w:rFonts w:hint="eastAsia"/>
        <w:sz w:val="18"/>
        <w:szCs w:val="18"/>
        <w:lang w:eastAsia="zh-CN"/>
      </w:rPr>
      <w:t>a</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FD969">
    <w:pPr>
      <w:pStyle w:val="57"/>
      <w:tabs>
        <w:tab w:val="center" w:pos="4500"/>
        <w:tab w:val="right" w:pos="9090"/>
      </w:tabs>
      <w:rPr>
        <w:rFonts w:ascii="Arial" w:hAnsi="Arial" w:cs="Arial"/>
        <w:sz w:val="16"/>
        <w:szCs w:val="16"/>
      </w:rPr>
    </w:pPr>
    <w:r>
      <w:rPr>
        <w:rFonts w:ascii="Arial" w:hAnsi="Arial" w:cs="Arial"/>
        <w:sz w:val="16"/>
        <w:szCs w:val="16"/>
      </w:rPr>
      <w:t>Section 3 - Evaluation and Qualification Criteria</w:t>
    </w:r>
    <w:r>
      <w:rPr>
        <w:rFonts w:ascii="Arial" w:hAnsi="Arial" w:cs="Arial"/>
        <w:sz w:val="16"/>
        <w:szCs w:val="16"/>
      </w:rPr>
      <w:tab/>
    </w:r>
    <w:r>
      <w:rPr>
        <w:rFonts w:ascii="Arial" w:hAnsi="Arial" w:cs="Arial"/>
        <w:sz w:val="16"/>
        <w:szCs w:val="16"/>
      </w:rPr>
      <w:tab/>
    </w:r>
    <w:r>
      <w:rPr>
        <w:rFonts w:ascii="Arial" w:hAnsi="Arial" w:cs="Arial"/>
        <w:sz w:val="16"/>
        <w:szCs w:val="16"/>
      </w:rPr>
      <w:t>3-</w:t>
    </w:r>
    <w:r>
      <w:rPr>
        <w:rFonts w:ascii="Arial" w:hAnsi="Arial" w:cs="Arial"/>
        <w:sz w:val="16"/>
        <w:szCs w:val="16"/>
      </w:rPr>
      <w:fldChar w:fldCharType="begin"/>
    </w:r>
    <w:r>
      <w:rPr>
        <w:rStyle w:val="91"/>
        <w:rFonts w:ascii="Arial" w:hAnsi="Arial" w:cs="Arial"/>
        <w:sz w:val="16"/>
        <w:szCs w:val="16"/>
      </w:rPr>
      <w:instrText xml:space="preserve"> PAGE </w:instrText>
    </w:r>
    <w:r>
      <w:rPr>
        <w:rFonts w:ascii="Arial" w:hAnsi="Arial" w:cs="Arial"/>
        <w:sz w:val="16"/>
        <w:szCs w:val="16"/>
      </w:rPr>
      <w:fldChar w:fldCharType="separate"/>
    </w:r>
    <w:r>
      <w:rPr>
        <w:rStyle w:val="91"/>
        <w:rFonts w:ascii="Arial" w:hAnsi="Arial" w:cs="Arial"/>
        <w:sz w:val="16"/>
        <w:szCs w:val="16"/>
        <w:lang w:val="en-MY" w:eastAsia="zh-CN"/>
      </w:rPr>
      <w:t>17</w:t>
    </w:r>
    <w:r>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216B4">
    <w:pPr>
      <w:pStyle w:val="57"/>
      <w:tabs>
        <w:tab w:val="center" w:pos="4500"/>
        <w:tab w:val="right" w:pos="9090"/>
      </w:tabs>
      <w:rPr>
        <w:rFonts w:ascii="Arial" w:hAnsi="Arial" w:cs="Arial"/>
        <w:sz w:val="16"/>
        <w:szCs w:val="16"/>
      </w:rPr>
    </w:pPr>
    <w:r>
      <w:rPr>
        <w:rStyle w:val="91"/>
        <w:rFonts w:ascii="Arial" w:hAnsi="Arial" w:cs="Arial"/>
        <w:sz w:val="16"/>
        <w:szCs w:val="16"/>
      </w:rPr>
      <w:t>3-</w:t>
    </w:r>
    <w:r>
      <w:rPr>
        <w:rFonts w:ascii="Arial" w:hAnsi="Arial" w:cs="Arial"/>
        <w:sz w:val="16"/>
        <w:szCs w:val="16"/>
      </w:rPr>
      <w:fldChar w:fldCharType="begin"/>
    </w:r>
    <w:r>
      <w:rPr>
        <w:rStyle w:val="91"/>
        <w:rFonts w:ascii="Arial" w:hAnsi="Arial" w:cs="Arial"/>
        <w:sz w:val="16"/>
        <w:szCs w:val="16"/>
      </w:rPr>
      <w:instrText xml:space="preserve"> PAGE </w:instrText>
    </w:r>
    <w:r>
      <w:rPr>
        <w:rFonts w:ascii="Arial" w:hAnsi="Arial" w:cs="Arial"/>
        <w:sz w:val="16"/>
        <w:szCs w:val="16"/>
      </w:rPr>
      <w:fldChar w:fldCharType="separate"/>
    </w:r>
    <w:r>
      <w:rPr>
        <w:rStyle w:val="91"/>
        <w:rFonts w:ascii="Arial" w:hAnsi="Arial" w:cs="Arial"/>
        <w:sz w:val="16"/>
        <w:szCs w:val="16"/>
        <w:lang w:val="en-MY" w:eastAsia="zh-CN"/>
      </w:rPr>
      <w:t>16</w:t>
    </w:r>
    <w:r>
      <w:rPr>
        <w:rFonts w:ascii="Arial" w:hAnsi="Arial" w:cs="Arial"/>
        <w:sz w:val="16"/>
        <w:szCs w:val="16"/>
      </w:rPr>
      <w:fldChar w:fldCharType="end"/>
    </w:r>
    <w:r>
      <w:rPr>
        <w:rStyle w:val="91"/>
        <w:rFonts w:ascii="Arial" w:hAnsi="Arial" w:cs="Arial"/>
        <w:sz w:val="16"/>
        <w:szCs w:val="16"/>
      </w:rPr>
      <w:tab/>
    </w:r>
    <w:r>
      <w:rPr>
        <w:rStyle w:val="91"/>
        <w:rFonts w:ascii="Arial" w:hAnsi="Arial" w:cs="Arial"/>
        <w:sz w:val="16"/>
        <w:szCs w:val="16"/>
      </w:rPr>
      <w:tab/>
    </w:r>
    <w:r>
      <w:rPr>
        <w:rFonts w:ascii="Arial" w:hAnsi="Arial" w:cs="Arial"/>
        <w:sz w:val="16"/>
        <w:szCs w:val="16"/>
      </w:rPr>
      <w:t>Section 3 – Evaluation and Qualification Criteria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8D12F">
    <w:pPr>
      <w:pStyle w:val="57"/>
      <w:tabs>
        <w:tab w:val="center" w:pos="4500"/>
        <w:tab w:val="right" w:pos="9090"/>
      </w:tabs>
    </w:pPr>
    <w:r>
      <w:tab/>
    </w:r>
    <w:r>
      <w:t>User’s Guide</w:t>
    </w:r>
    <w:r>
      <w:tab/>
    </w:r>
    <w:r>
      <w:fldChar w:fldCharType="begin"/>
    </w:r>
    <w:r>
      <w:rPr>
        <w:rStyle w:val="91"/>
      </w:rPr>
      <w:instrText xml:space="preserve"> PAGE </w:instrText>
    </w:r>
    <w:r>
      <w:fldChar w:fldCharType="separate"/>
    </w:r>
    <w:r>
      <w:rPr>
        <w:rStyle w:val="91"/>
      </w:rPr>
      <w:t>45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5"/>
      <w:lvlText w:val="%1."/>
      <w:lvlJc w:val="left"/>
      <w:pPr>
        <w:tabs>
          <w:tab w:val="left" w:pos="1800"/>
        </w:tabs>
        <w:ind w:left="1800" w:hanging="360"/>
      </w:pPr>
    </w:lvl>
  </w:abstractNum>
  <w:abstractNum w:abstractNumId="1">
    <w:nsid w:val="FFFFFF7D"/>
    <w:multiLevelType w:val="singleLevel"/>
    <w:tmpl w:val="FFFFFF7D"/>
    <w:lvl w:ilvl="0" w:tentative="0">
      <w:start w:val="1"/>
      <w:numFmt w:val="decimal"/>
      <w:pStyle w:val="47"/>
      <w:lvlText w:val="%1."/>
      <w:lvlJc w:val="left"/>
      <w:pPr>
        <w:tabs>
          <w:tab w:val="left" w:pos="1440"/>
        </w:tabs>
        <w:ind w:left="1440" w:hanging="360"/>
      </w:pPr>
    </w:lvl>
  </w:abstractNum>
  <w:abstractNum w:abstractNumId="2">
    <w:nsid w:val="FFFFFF7E"/>
    <w:multiLevelType w:val="singleLevel"/>
    <w:tmpl w:val="FFFFFF7E"/>
    <w:lvl w:ilvl="0" w:tentative="0">
      <w:start w:val="1"/>
      <w:numFmt w:val="decimal"/>
      <w:pStyle w:val="36"/>
      <w:lvlText w:val="%1."/>
      <w:lvlJc w:val="left"/>
      <w:pPr>
        <w:tabs>
          <w:tab w:val="left" w:pos="1080"/>
        </w:tabs>
        <w:ind w:left="1080" w:hanging="360"/>
      </w:pPr>
    </w:lvl>
  </w:abstractNum>
  <w:abstractNum w:abstractNumId="3">
    <w:nsid w:val="FFFFFF7F"/>
    <w:multiLevelType w:val="singleLevel"/>
    <w:tmpl w:val="FFFFFF7F"/>
    <w:lvl w:ilvl="0" w:tentative="0">
      <w:start w:val="1"/>
      <w:numFmt w:val="decimal"/>
      <w:pStyle w:val="14"/>
      <w:lvlText w:val="%1."/>
      <w:lvlJc w:val="left"/>
      <w:pPr>
        <w:tabs>
          <w:tab w:val="left" w:pos="720"/>
        </w:tabs>
        <w:ind w:left="720" w:hanging="360"/>
      </w:pPr>
    </w:lvl>
  </w:abstractNum>
  <w:abstractNum w:abstractNumId="4">
    <w:nsid w:val="FFFFFF80"/>
    <w:multiLevelType w:val="singleLevel"/>
    <w:tmpl w:val="FFFFFF80"/>
    <w:lvl w:ilvl="0" w:tentative="0">
      <w:start w:val="1"/>
      <w:numFmt w:val="bullet"/>
      <w:pStyle w:val="46"/>
      <w:lvlText w:val=""/>
      <w:lvlJc w:val="left"/>
      <w:pPr>
        <w:tabs>
          <w:tab w:val="left" w:pos="1800"/>
        </w:tabs>
        <w:ind w:left="1800" w:hanging="360"/>
      </w:pPr>
      <w:rPr>
        <w:rFonts w:hint="default" w:ascii="Symbol" w:hAnsi="Symbol"/>
      </w:rPr>
    </w:lvl>
  </w:abstractNum>
  <w:abstractNum w:abstractNumId="5">
    <w:nsid w:val="FFFFFF81"/>
    <w:multiLevelType w:val="singleLevel"/>
    <w:tmpl w:val="FFFFFF81"/>
    <w:lvl w:ilvl="0" w:tentative="0">
      <w:start w:val="1"/>
      <w:numFmt w:val="bullet"/>
      <w:pStyle w:val="17"/>
      <w:lvlText w:val=""/>
      <w:lvlJc w:val="left"/>
      <w:pPr>
        <w:tabs>
          <w:tab w:val="left" w:pos="1440"/>
        </w:tabs>
        <w:ind w:left="1440" w:hanging="360"/>
      </w:pPr>
      <w:rPr>
        <w:rFonts w:hint="default" w:ascii="Symbol" w:hAnsi="Symbol"/>
      </w:rPr>
    </w:lvl>
  </w:abstractNum>
  <w:abstractNum w:abstractNumId="6">
    <w:nsid w:val="FFFFFF82"/>
    <w:multiLevelType w:val="singleLevel"/>
    <w:tmpl w:val="FFFFFF82"/>
    <w:lvl w:ilvl="0" w:tentative="0">
      <w:start w:val="1"/>
      <w:numFmt w:val="bullet"/>
      <w:pStyle w:val="33"/>
      <w:lvlText w:val=""/>
      <w:lvlJc w:val="left"/>
      <w:pPr>
        <w:tabs>
          <w:tab w:val="left" w:pos="1080"/>
        </w:tabs>
        <w:ind w:left="1080" w:hanging="360"/>
      </w:pPr>
      <w:rPr>
        <w:rFonts w:hint="default" w:ascii="Symbol" w:hAnsi="Symbol"/>
      </w:rPr>
    </w:lvl>
  </w:abstractNum>
  <w:abstractNum w:abstractNumId="7">
    <w:nsid w:val="FFFFFF83"/>
    <w:multiLevelType w:val="singleLevel"/>
    <w:tmpl w:val="FFFFFF83"/>
    <w:lvl w:ilvl="0" w:tentative="0">
      <w:start w:val="1"/>
      <w:numFmt w:val="bullet"/>
      <w:pStyle w:val="40"/>
      <w:lvlText w:val=""/>
      <w:lvlJc w:val="left"/>
      <w:pPr>
        <w:tabs>
          <w:tab w:val="left" w:pos="720"/>
        </w:tabs>
        <w:ind w:left="720" w:hanging="360"/>
      </w:pPr>
      <w:rPr>
        <w:rFonts w:hint="default" w:ascii="Symbol" w:hAnsi="Symbol"/>
      </w:rPr>
    </w:lvl>
  </w:abstractNum>
  <w:abstractNum w:abstractNumId="8">
    <w:nsid w:val="FFFFFF88"/>
    <w:multiLevelType w:val="singleLevel"/>
    <w:tmpl w:val="FFFFFF88"/>
    <w:lvl w:ilvl="0" w:tentative="0">
      <w:start w:val="1"/>
      <w:numFmt w:val="decimal"/>
      <w:pStyle w:val="20"/>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pPr>
      <w:rPr>
        <w:rFonts w:hint="default" w:ascii="Symbol" w:hAnsi="Symbol"/>
      </w:rPr>
    </w:lvl>
  </w:abstractNum>
  <w:abstractNum w:abstractNumId="10">
    <w:nsid w:val="00000055"/>
    <w:multiLevelType w:val="multilevel"/>
    <w:tmpl w:val="00000055"/>
    <w:lvl w:ilvl="0" w:tentative="0">
      <w:start w:val="1"/>
      <w:numFmt w:val="decimal"/>
      <w:lvlText w:val="25.%1"/>
      <w:lvlJc w:val="left"/>
      <w:pPr>
        <w:ind w:left="840" w:hanging="420"/>
      </w:pPr>
      <w:rPr>
        <w:rFonts w:hint="eastAsia" w:cs="Times New Roman"/>
      </w:rPr>
    </w:lvl>
    <w:lvl w:ilvl="1" w:tentative="0">
      <w:start w:val="1"/>
      <w:numFmt w:val="decimal"/>
      <w:lvlText w:val="%2."/>
      <w:lvlJc w:val="left"/>
      <w:pPr>
        <w:ind w:left="840" w:hanging="420"/>
      </w:pPr>
      <w:rPr>
        <w:rFonts w:hint="default" w:ascii="Arial" w:hAnsi="Arial" w:eastAsia="Times New Roman" w:cs="Times New Roman"/>
      </w:rPr>
    </w:lvl>
    <w:lvl w:ilvl="2" w:tentative="0">
      <w:start w:val="1"/>
      <w:numFmt w:val="decimal"/>
      <w:lvlText w:val="%3)"/>
      <w:lvlJc w:val="left"/>
      <w:pPr>
        <w:ind w:left="1200" w:hanging="360"/>
      </w:pPr>
      <w:rPr>
        <w:rFonts w:hint="default"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1">
    <w:nsid w:val="0CE02198"/>
    <w:multiLevelType w:val="multilevel"/>
    <w:tmpl w:val="0CE02198"/>
    <w:lvl w:ilvl="0" w:tentative="0">
      <w:start w:val="1"/>
      <w:numFmt w:val="bullet"/>
      <w:pStyle w:val="165"/>
      <w:lvlText w:val=""/>
      <w:lvlJc w:val="left"/>
      <w:pPr>
        <w:tabs>
          <w:tab w:val="left" w:pos="360"/>
        </w:tabs>
        <w:ind w:left="360" w:hanging="360"/>
      </w:pPr>
      <w:rPr>
        <w:rFonts w:hint="default" w:ascii="Wingdings" w:hAnsi="Wingdings"/>
        <w:sz w:val="24"/>
      </w:rPr>
    </w:lvl>
    <w:lvl w:ilvl="1" w:tentative="0">
      <w:start w:val="1"/>
      <w:numFmt w:val="bullet"/>
      <w:lvlText w:val="o"/>
      <w:lvlJc w:val="left"/>
      <w:pPr>
        <w:tabs>
          <w:tab w:val="left" w:pos="1080"/>
        </w:tabs>
        <w:ind w:left="1080" w:hanging="360"/>
      </w:pPr>
      <w:rPr>
        <w:rFonts w:hint="default" w:ascii="Courier New" w:hAnsi="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2">
    <w:nsid w:val="23C212A7"/>
    <w:multiLevelType w:val="multilevel"/>
    <w:tmpl w:val="23C212A7"/>
    <w:lvl w:ilvl="0" w:tentative="0">
      <w:start w:val="1"/>
      <w:numFmt w:val="decimal"/>
      <w:lvlText w:val="%1."/>
      <w:lvlJc w:val="left"/>
      <w:pPr>
        <w:tabs>
          <w:tab w:val="left" w:pos="360"/>
        </w:tabs>
        <w:ind w:left="0" w:firstLine="0"/>
      </w:pPr>
      <w:rPr>
        <w:rFonts w:hint="default"/>
      </w:rPr>
    </w:lvl>
    <w:lvl w:ilvl="1" w:tentative="0">
      <w:start w:val="1"/>
      <w:numFmt w:val="decimal"/>
      <w:lvlText w:val="30.%2"/>
      <w:lvlJc w:val="left"/>
      <w:pPr>
        <w:tabs>
          <w:tab w:val="left" w:pos="504"/>
        </w:tabs>
        <w:ind w:left="504" w:hanging="504"/>
      </w:pPr>
      <w:rPr>
        <w:rFonts w:hint="default"/>
      </w:rPr>
    </w:lvl>
    <w:lvl w:ilvl="2" w:tentative="0">
      <w:start w:val="1"/>
      <w:numFmt w:val="lowerLetter"/>
      <w:lvlText w:val="(%3)"/>
      <w:lvlJc w:val="left"/>
      <w:pPr>
        <w:tabs>
          <w:tab w:val="left" w:pos="1152"/>
        </w:tabs>
        <w:ind w:left="864" w:hanging="432"/>
      </w:pPr>
      <w:rPr>
        <w:rFonts w:hint="default"/>
        <w:b w:val="0"/>
        <w:i w:val="0"/>
      </w:rPr>
    </w:lvl>
    <w:lvl w:ilvl="3" w:tentative="0">
      <w:start w:val="1"/>
      <w:numFmt w:val="lowerRoman"/>
      <w:pStyle w:val="137"/>
      <w:lvlText w:val="(%4)"/>
      <w:lvlJc w:val="left"/>
      <w:pPr>
        <w:tabs>
          <w:tab w:val="left" w:pos="1512"/>
        </w:tabs>
        <w:ind w:left="1512" w:hanging="648"/>
      </w:pPr>
      <w:rPr>
        <w:rFonts w:hint="default"/>
      </w:rPr>
    </w:lvl>
    <w:lvl w:ilvl="4" w:tentative="0">
      <w:start w:val="1"/>
      <w:numFmt w:val="none"/>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abstractNum w:abstractNumId="13">
    <w:nsid w:val="353A264C"/>
    <w:multiLevelType w:val="singleLevel"/>
    <w:tmpl w:val="353A264C"/>
    <w:lvl w:ilvl="0" w:tentative="0">
      <w:start w:val="2"/>
      <w:numFmt w:val="decimal"/>
      <w:suff w:val="space"/>
      <w:lvlText w:val="%1."/>
      <w:lvlJc w:val="left"/>
    </w:lvl>
  </w:abstractNum>
  <w:abstractNum w:abstractNumId="14">
    <w:nsid w:val="37625841"/>
    <w:multiLevelType w:val="multilevel"/>
    <w:tmpl w:val="37625841"/>
    <w:lvl w:ilvl="0" w:tentative="0">
      <w:start w:val="1"/>
      <w:numFmt w:val="decimal"/>
      <w:suff w:val="space"/>
      <w:lvlText w:val="%11."/>
      <w:lvlJc w:val="left"/>
      <w:pPr>
        <w:ind w:left="0" w:firstLine="0"/>
      </w:pPr>
      <w:rPr>
        <w:rFonts w:hint="default"/>
      </w:rPr>
    </w:lvl>
    <w:lvl w:ilvl="1" w:tentative="0">
      <w:start w:val="1"/>
      <w:numFmt w:val="decimal"/>
      <w:suff w:val="nothing"/>
      <w:lvlText w:val="1.%2"/>
      <w:lvlJc w:val="left"/>
      <w:pPr>
        <w:ind w:left="504" w:hanging="504"/>
      </w:pPr>
      <w:rPr>
        <w:rFonts w:hint="default"/>
      </w:rPr>
    </w:lvl>
    <w:lvl w:ilvl="2" w:tentative="0">
      <w:start w:val="1"/>
      <w:numFmt w:val="none"/>
      <w:suff w:val="nothing"/>
      <w:lvlText w:val=""/>
      <w:lvlJc w:val="left"/>
      <w:pPr>
        <w:ind w:left="0" w:firstLine="0"/>
      </w:pPr>
      <w:rPr>
        <w:rFonts w:hint="default"/>
      </w:rPr>
    </w:lvl>
    <w:lvl w:ilvl="3" w:tentative="0">
      <w:start w:val="1"/>
      <w:numFmt w:val="none"/>
      <w:suff w:val="nothing"/>
      <w:lvlText w:val=""/>
      <w:lvlJc w:val="left"/>
      <w:pPr>
        <w:ind w:left="0" w:firstLine="0"/>
      </w:pPr>
      <w:rPr>
        <w:rFonts w:hint="default"/>
      </w:rPr>
    </w:lvl>
    <w:lvl w:ilvl="4" w:tentative="0">
      <w:start w:val="1"/>
      <w:numFmt w:val="none"/>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abstractNum w:abstractNumId="15">
    <w:nsid w:val="3ED10A5F"/>
    <w:multiLevelType w:val="multilevel"/>
    <w:tmpl w:val="3ED10A5F"/>
    <w:lvl w:ilvl="0" w:tentative="0">
      <w:start w:val="1"/>
      <w:numFmt w:val="decimal"/>
      <w:isLgl/>
      <w:lvlText w:val="%1."/>
      <w:lvlJc w:val="left"/>
      <w:pPr>
        <w:tabs>
          <w:tab w:val="left" w:pos="432"/>
        </w:tabs>
        <w:ind w:left="432" w:hanging="432"/>
      </w:pPr>
      <w:rPr>
        <w:b/>
        <w:i w:val="0"/>
        <w:sz w:val="24"/>
      </w:rPr>
    </w:lvl>
    <w:lvl w:ilvl="1" w:tentative="0">
      <w:start w:val="1"/>
      <w:numFmt w:val="decimal"/>
      <w:lvlText w:val="%1.%2"/>
      <w:lvlJc w:val="left"/>
      <w:pPr>
        <w:tabs>
          <w:tab w:val="left" w:pos="504"/>
        </w:tabs>
        <w:ind w:left="504" w:hanging="504"/>
      </w:pPr>
      <w:rPr>
        <w:rFonts w:hint="default" w:ascii="Times New Roman" w:hAnsi="Times New Roman"/>
        <w:b w:val="0"/>
        <w:i w:val="0"/>
        <w:sz w:val="24"/>
      </w:rPr>
    </w:lvl>
    <w:lvl w:ilvl="2" w:tentative="0">
      <w:start w:val="1"/>
      <w:numFmt w:val="lowerRoman"/>
      <w:lvlText w:val="(%3)"/>
      <w:lvlJc w:val="left"/>
      <w:pPr>
        <w:tabs>
          <w:tab w:val="left" w:pos="864"/>
        </w:tabs>
        <w:ind w:left="864" w:hanging="432"/>
      </w:pPr>
      <w:rPr>
        <w:rFonts w:hint="default"/>
        <w:b w:val="0"/>
        <w:i w:val="0"/>
        <w:sz w:val="20"/>
        <w:szCs w:val="20"/>
      </w:rPr>
    </w:lvl>
    <w:lvl w:ilvl="3" w:tentative="0">
      <w:start w:val="1"/>
      <w:numFmt w:val="lowerRoman"/>
      <w:pStyle w:val="6"/>
      <w:lvlText w:val="(%4)"/>
      <w:lvlJc w:val="left"/>
      <w:pPr>
        <w:tabs>
          <w:tab w:val="left" w:pos="1512"/>
        </w:tabs>
        <w:ind w:left="1512" w:hanging="648"/>
      </w:pPr>
      <w:rPr>
        <w:rFonts w:hint="default" w:ascii="Times New Roman" w:hAnsi="Times New Roman"/>
        <w:b w:val="0"/>
        <w:i w:val="0"/>
        <w:sz w:val="24"/>
      </w:rPr>
    </w:lvl>
    <w:lvl w:ilvl="4" w:tentative="0">
      <w:start w:val="1"/>
      <w:numFmt w:val="decimal"/>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6">
    <w:nsid w:val="41DD70BF"/>
    <w:multiLevelType w:val="multilevel"/>
    <w:tmpl w:val="41DD70BF"/>
    <w:lvl w:ilvl="0" w:tentative="0">
      <w:start w:val="1"/>
      <w:numFmt w:val="upperRoman"/>
      <w:lvlText w:val="%1."/>
      <w:lvlJc w:val="right"/>
      <w:pPr>
        <w:tabs>
          <w:tab w:val="left" w:pos="432"/>
        </w:tabs>
        <w:ind w:left="432" w:hanging="432"/>
      </w:pPr>
    </w:lvl>
    <w:lvl w:ilvl="1" w:tentative="0">
      <w:start w:val="1"/>
      <w:numFmt w:val="upperLetter"/>
      <w:lvlText w:val="%2."/>
      <w:lvlJc w:val="left"/>
      <w:pPr>
        <w:tabs>
          <w:tab w:val="left" w:pos="1152"/>
        </w:tabs>
        <w:ind w:left="1152" w:hanging="576"/>
      </w:pPr>
    </w:lvl>
    <w:lvl w:ilvl="2" w:tentative="0">
      <w:start w:val="1"/>
      <w:numFmt w:val="decimal"/>
      <w:pStyle w:val="158"/>
      <w:lvlText w:val="%3."/>
      <w:lvlJc w:val="left"/>
      <w:pPr>
        <w:tabs>
          <w:tab w:val="left" w:pos="1728"/>
        </w:tabs>
        <w:ind w:left="1728" w:hanging="432"/>
      </w:pPr>
    </w:lvl>
    <w:lvl w:ilvl="3" w:tentative="0">
      <w:start w:val="1"/>
      <w:numFmt w:val="lowerLetter"/>
      <w:pStyle w:val="130"/>
      <w:lvlText w:val="%4)"/>
      <w:lvlJc w:val="left"/>
      <w:pPr>
        <w:tabs>
          <w:tab w:val="left" w:pos="2304"/>
        </w:tabs>
        <w:ind w:left="2304" w:hanging="576"/>
      </w:pPr>
    </w:lvl>
    <w:lvl w:ilvl="4" w:tentative="0">
      <w:start w:val="1"/>
      <w:numFmt w:val="decimal"/>
      <w:lvlText w:val="(%5)"/>
      <w:lvlJc w:val="left"/>
      <w:pPr>
        <w:tabs>
          <w:tab w:val="left" w:pos="3240"/>
        </w:tabs>
        <w:ind w:left="2880" w:firstLine="0"/>
      </w:pPr>
    </w:lvl>
    <w:lvl w:ilvl="5" w:tentative="0">
      <w:start w:val="1"/>
      <w:numFmt w:val="lowerLetter"/>
      <w:lvlText w:val="(%6)"/>
      <w:lvlJc w:val="left"/>
      <w:pPr>
        <w:tabs>
          <w:tab w:val="left" w:pos="3960"/>
        </w:tabs>
        <w:ind w:left="3600" w:firstLine="0"/>
      </w:pPr>
    </w:lvl>
    <w:lvl w:ilvl="6" w:tentative="0">
      <w:start w:val="1"/>
      <w:numFmt w:val="lowerRoman"/>
      <w:lvlText w:val="(%7)"/>
      <w:lvlJc w:val="left"/>
      <w:pPr>
        <w:tabs>
          <w:tab w:val="left" w:pos="4680"/>
        </w:tabs>
        <w:ind w:left="4320" w:firstLine="0"/>
      </w:pPr>
    </w:lvl>
    <w:lvl w:ilvl="7" w:tentative="0">
      <w:start w:val="1"/>
      <w:numFmt w:val="lowerLetter"/>
      <w:lvlText w:val="(%8)"/>
      <w:lvlJc w:val="left"/>
      <w:pPr>
        <w:tabs>
          <w:tab w:val="left" w:pos="5400"/>
        </w:tabs>
        <w:ind w:left="5040" w:firstLine="0"/>
      </w:pPr>
    </w:lvl>
    <w:lvl w:ilvl="8" w:tentative="0">
      <w:start w:val="1"/>
      <w:numFmt w:val="lowerRoman"/>
      <w:lvlText w:val="(%9)"/>
      <w:lvlJc w:val="left"/>
      <w:pPr>
        <w:tabs>
          <w:tab w:val="left" w:pos="6120"/>
        </w:tabs>
        <w:ind w:left="5760" w:firstLine="0"/>
      </w:pPr>
    </w:lvl>
  </w:abstractNum>
  <w:abstractNum w:abstractNumId="17">
    <w:nsid w:val="47D441DF"/>
    <w:multiLevelType w:val="multilevel"/>
    <w:tmpl w:val="47D441DF"/>
    <w:lvl w:ilvl="0" w:tentative="0">
      <w:start w:val="2"/>
      <w:numFmt w:val="decimal"/>
      <w:lvlText w:val="%1"/>
      <w:lvlJc w:val="left"/>
      <w:pPr>
        <w:tabs>
          <w:tab w:val="left" w:pos="720"/>
        </w:tabs>
        <w:ind w:left="720" w:hanging="720"/>
      </w:pPr>
      <w:rPr>
        <w:rFonts w:hint="default" w:cs="Times New Roman"/>
      </w:rPr>
    </w:lvl>
    <w:lvl w:ilvl="1" w:tentative="0">
      <w:start w:val="2"/>
      <w:numFmt w:val="decimal"/>
      <w:pStyle w:val="134"/>
      <w:lvlText w:val="%1.%2"/>
      <w:lvlJc w:val="left"/>
      <w:pPr>
        <w:tabs>
          <w:tab w:val="left" w:pos="720"/>
        </w:tabs>
        <w:ind w:left="720" w:hanging="720"/>
      </w:pPr>
      <w:rPr>
        <w:rFonts w:hint="default" w:cs="Times New Roman"/>
      </w:rPr>
    </w:lvl>
    <w:lvl w:ilvl="2" w:tentative="0">
      <w:start w:val="1"/>
      <w:numFmt w:val="decimal"/>
      <w:lvlText w:val="%3.1"/>
      <w:lvlJc w:val="left"/>
      <w:pPr>
        <w:tabs>
          <w:tab w:val="left" w:pos="720"/>
        </w:tabs>
        <w:ind w:left="720" w:hanging="720"/>
      </w:pPr>
      <w:rPr>
        <w:rFonts w:hint="default" w:cs="Times New Roman"/>
      </w:rPr>
    </w:lvl>
    <w:lvl w:ilvl="3" w:tentative="0">
      <w:start w:val="1"/>
      <w:numFmt w:val="decimal"/>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440"/>
        </w:tabs>
        <w:ind w:left="1440" w:hanging="144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800"/>
        </w:tabs>
        <w:ind w:left="1800" w:hanging="1800"/>
      </w:pPr>
      <w:rPr>
        <w:rFonts w:hint="default" w:cs="Times New Roman"/>
      </w:rPr>
    </w:lvl>
  </w:abstractNum>
  <w:abstractNum w:abstractNumId="18">
    <w:nsid w:val="4E670A65"/>
    <w:multiLevelType w:val="multilevel"/>
    <w:tmpl w:val="4E670A65"/>
    <w:lvl w:ilvl="0" w:tentative="0">
      <w:start w:val="1"/>
      <w:numFmt w:val="decimal"/>
      <w:lvlText w:val="%1)"/>
      <w:lvlJc w:val="left"/>
      <w:pPr>
        <w:ind w:left="845" w:hanging="420"/>
      </w:pPr>
      <w:rPr>
        <w:rFonts w:hint="default" w:cs="Times New Roman"/>
      </w:rPr>
    </w:lvl>
    <w:lvl w:ilvl="1" w:tentative="0">
      <w:start w:val="1"/>
      <w:numFmt w:val="lowerLetter"/>
      <w:lvlText w:val="%2)"/>
      <w:lvlJc w:val="left"/>
      <w:pPr>
        <w:ind w:left="1265" w:hanging="420"/>
      </w:pPr>
      <w:rPr>
        <w:rFonts w:cs="Times New Roman"/>
      </w:rPr>
    </w:lvl>
    <w:lvl w:ilvl="2" w:tentative="0">
      <w:start w:val="1"/>
      <w:numFmt w:val="lowerRoman"/>
      <w:lvlText w:val="%3."/>
      <w:lvlJc w:val="right"/>
      <w:pPr>
        <w:ind w:left="1685" w:hanging="420"/>
      </w:pPr>
      <w:rPr>
        <w:rFonts w:cs="Times New Roman"/>
      </w:rPr>
    </w:lvl>
    <w:lvl w:ilvl="3" w:tentative="0">
      <w:start w:val="1"/>
      <w:numFmt w:val="decimal"/>
      <w:lvlText w:val="%4."/>
      <w:lvlJc w:val="left"/>
      <w:pPr>
        <w:ind w:left="2105" w:hanging="420"/>
      </w:pPr>
      <w:rPr>
        <w:rFonts w:cs="Times New Roman"/>
      </w:rPr>
    </w:lvl>
    <w:lvl w:ilvl="4" w:tentative="0">
      <w:start w:val="1"/>
      <w:numFmt w:val="lowerLetter"/>
      <w:lvlText w:val="%5)"/>
      <w:lvlJc w:val="left"/>
      <w:pPr>
        <w:ind w:left="2525" w:hanging="420"/>
      </w:pPr>
      <w:rPr>
        <w:rFonts w:cs="Times New Roman"/>
      </w:rPr>
    </w:lvl>
    <w:lvl w:ilvl="5" w:tentative="0">
      <w:start w:val="1"/>
      <w:numFmt w:val="lowerRoman"/>
      <w:lvlText w:val="%6."/>
      <w:lvlJc w:val="right"/>
      <w:pPr>
        <w:ind w:left="2945" w:hanging="420"/>
      </w:pPr>
      <w:rPr>
        <w:rFonts w:cs="Times New Roman"/>
      </w:rPr>
    </w:lvl>
    <w:lvl w:ilvl="6" w:tentative="0">
      <w:start w:val="1"/>
      <w:numFmt w:val="decimal"/>
      <w:lvlText w:val="%7."/>
      <w:lvlJc w:val="left"/>
      <w:pPr>
        <w:ind w:left="3365" w:hanging="420"/>
      </w:pPr>
      <w:rPr>
        <w:rFonts w:cs="Times New Roman"/>
      </w:rPr>
    </w:lvl>
    <w:lvl w:ilvl="7" w:tentative="0">
      <w:start w:val="1"/>
      <w:numFmt w:val="lowerLetter"/>
      <w:lvlText w:val="%8)"/>
      <w:lvlJc w:val="left"/>
      <w:pPr>
        <w:ind w:left="3785" w:hanging="420"/>
      </w:pPr>
      <w:rPr>
        <w:rFonts w:cs="Times New Roman"/>
      </w:rPr>
    </w:lvl>
    <w:lvl w:ilvl="8" w:tentative="0">
      <w:start w:val="1"/>
      <w:numFmt w:val="lowerRoman"/>
      <w:lvlText w:val="%9."/>
      <w:lvlJc w:val="right"/>
      <w:pPr>
        <w:ind w:left="4205" w:hanging="420"/>
      </w:pPr>
      <w:rPr>
        <w:rFonts w:cs="Times New Roman"/>
      </w:rPr>
    </w:lvl>
  </w:abstractNum>
  <w:abstractNum w:abstractNumId="19">
    <w:nsid w:val="4F0F3894"/>
    <w:multiLevelType w:val="multilevel"/>
    <w:tmpl w:val="4F0F3894"/>
    <w:lvl w:ilvl="0" w:tentative="0">
      <w:start w:val="1"/>
      <w:numFmt w:val="upperLetter"/>
      <w:lvlText w:val="%1."/>
      <w:lvlJc w:val="left"/>
      <w:pPr>
        <w:tabs>
          <w:tab w:val="left" w:pos="504"/>
        </w:tabs>
        <w:ind w:left="504" w:hanging="504"/>
      </w:pPr>
      <w:rPr>
        <w:rFonts w:hint="default"/>
      </w:rPr>
    </w:lvl>
    <w:lvl w:ilvl="1" w:tentative="0">
      <w:start w:val="16"/>
      <w:numFmt w:val="decimal"/>
      <w:pStyle w:val="156"/>
      <w:lvlText w:val="%2."/>
      <w:lvlJc w:val="left"/>
      <w:pPr>
        <w:tabs>
          <w:tab w:val="left" w:pos="504"/>
        </w:tabs>
        <w:ind w:left="504" w:hanging="504"/>
      </w:pPr>
    </w:lvl>
    <w:lvl w:ilvl="2" w:tentative="0">
      <w:start w:val="1"/>
      <w:numFmt w:val="decimal"/>
      <w:lvlText w:val="%3."/>
      <w:lvlJc w:val="left"/>
      <w:pPr>
        <w:tabs>
          <w:tab w:val="left" w:pos="0"/>
        </w:tabs>
        <w:ind w:left="2160" w:hanging="720"/>
      </w:pPr>
    </w:lvl>
    <w:lvl w:ilvl="3" w:tentative="0">
      <w:start w:val="1"/>
      <w:numFmt w:val="decimal"/>
      <w:lvlText w:val="%4."/>
      <w:lvlJc w:val="left"/>
      <w:pPr>
        <w:tabs>
          <w:tab w:val="left" w:pos="0"/>
        </w:tabs>
        <w:ind w:left="2880" w:hanging="720"/>
      </w:pPr>
    </w:lvl>
    <w:lvl w:ilvl="4" w:tentative="0">
      <w:start w:val="1"/>
      <w:numFmt w:val="decimal"/>
      <w:lvlText w:val="%5."/>
      <w:lvlJc w:val="left"/>
      <w:pPr>
        <w:tabs>
          <w:tab w:val="left" w:pos="0"/>
        </w:tabs>
        <w:ind w:left="3600" w:hanging="720"/>
      </w:pPr>
    </w:lvl>
    <w:lvl w:ilvl="5" w:tentative="0">
      <w:start w:val="1"/>
      <w:numFmt w:val="decimal"/>
      <w:lvlText w:val="%6."/>
      <w:lvlJc w:val="left"/>
      <w:pPr>
        <w:tabs>
          <w:tab w:val="left" w:pos="0"/>
        </w:tabs>
        <w:ind w:left="4320" w:hanging="720"/>
      </w:pPr>
    </w:lvl>
    <w:lvl w:ilvl="6" w:tentative="0">
      <w:start w:val="1"/>
      <w:numFmt w:val="decimal"/>
      <w:lvlText w:val="%7."/>
      <w:lvlJc w:val="left"/>
      <w:pPr>
        <w:tabs>
          <w:tab w:val="left" w:pos="0"/>
        </w:tabs>
        <w:ind w:left="5040" w:hanging="720"/>
      </w:pPr>
    </w:lvl>
    <w:lvl w:ilvl="7" w:tentative="0">
      <w:start w:val="1"/>
      <w:numFmt w:val="decimal"/>
      <w:lvlText w:val="%8."/>
      <w:lvlJc w:val="left"/>
      <w:pPr>
        <w:tabs>
          <w:tab w:val="left" w:pos="0"/>
        </w:tabs>
        <w:ind w:left="5760" w:hanging="720"/>
      </w:pPr>
    </w:lvl>
    <w:lvl w:ilvl="8" w:tentative="0">
      <w:start w:val="1"/>
      <w:numFmt w:val="lowerRoman"/>
      <w:lvlText w:val="%9"/>
      <w:lvlJc w:val="left"/>
      <w:pPr>
        <w:tabs>
          <w:tab w:val="left" w:pos="0"/>
        </w:tabs>
        <w:ind w:left="6480" w:hanging="720"/>
      </w:pPr>
    </w:lvl>
  </w:abstractNum>
  <w:abstractNum w:abstractNumId="20">
    <w:nsid w:val="538A1C89"/>
    <w:multiLevelType w:val="multilevel"/>
    <w:tmpl w:val="538A1C89"/>
    <w:lvl w:ilvl="0" w:tentative="0">
      <w:start w:val="1"/>
      <w:numFmt w:val="decimal"/>
      <w:lvlText w:val="%1."/>
      <w:lvlJc w:val="left"/>
      <w:pPr>
        <w:ind w:left="1390" w:hanging="420"/>
      </w:pPr>
      <w:rPr>
        <w:rFonts w:hint="eastAsia" w:cs="Times New Roman"/>
      </w:rPr>
    </w:lvl>
    <w:lvl w:ilvl="1" w:tentative="0">
      <w:start w:val="1"/>
      <w:numFmt w:val="lowerLetter"/>
      <w:lvlText w:val="%2)"/>
      <w:lvlJc w:val="left"/>
      <w:pPr>
        <w:ind w:left="1810" w:hanging="420"/>
      </w:pPr>
      <w:rPr>
        <w:rFonts w:cs="Times New Roman"/>
      </w:rPr>
    </w:lvl>
    <w:lvl w:ilvl="2" w:tentative="0">
      <w:start w:val="1"/>
      <w:numFmt w:val="lowerRoman"/>
      <w:lvlText w:val="%3."/>
      <w:lvlJc w:val="right"/>
      <w:pPr>
        <w:ind w:left="2230" w:hanging="420"/>
      </w:pPr>
      <w:rPr>
        <w:rFonts w:cs="Times New Roman"/>
      </w:rPr>
    </w:lvl>
    <w:lvl w:ilvl="3" w:tentative="0">
      <w:start w:val="1"/>
      <w:numFmt w:val="decimal"/>
      <w:lvlText w:val="%4."/>
      <w:lvlJc w:val="left"/>
      <w:pPr>
        <w:ind w:left="2650" w:hanging="420"/>
      </w:pPr>
      <w:rPr>
        <w:rFonts w:cs="Times New Roman"/>
      </w:rPr>
    </w:lvl>
    <w:lvl w:ilvl="4" w:tentative="0">
      <w:start w:val="1"/>
      <w:numFmt w:val="lowerLetter"/>
      <w:lvlText w:val="%5)"/>
      <w:lvlJc w:val="left"/>
      <w:pPr>
        <w:ind w:left="3070" w:hanging="420"/>
      </w:pPr>
      <w:rPr>
        <w:rFonts w:cs="Times New Roman"/>
      </w:rPr>
    </w:lvl>
    <w:lvl w:ilvl="5" w:tentative="0">
      <w:start w:val="1"/>
      <w:numFmt w:val="lowerRoman"/>
      <w:lvlText w:val="%6."/>
      <w:lvlJc w:val="right"/>
      <w:pPr>
        <w:ind w:left="3490" w:hanging="420"/>
      </w:pPr>
      <w:rPr>
        <w:rFonts w:cs="Times New Roman"/>
      </w:rPr>
    </w:lvl>
    <w:lvl w:ilvl="6" w:tentative="0">
      <w:start w:val="1"/>
      <w:numFmt w:val="decimal"/>
      <w:lvlText w:val="%7."/>
      <w:lvlJc w:val="left"/>
      <w:pPr>
        <w:ind w:left="3910" w:hanging="420"/>
      </w:pPr>
      <w:rPr>
        <w:rFonts w:cs="Times New Roman"/>
      </w:rPr>
    </w:lvl>
    <w:lvl w:ilvl="7" w:tentative="0">
      <w:start w:val="1"/>
      <w:numFmt w:val="lowerLetter"/>
      <w:lvlText w:val="%8)"/>
      <w:lvlJc w:val="left"/>
      <w:pPr>
        <w:ind w:left="4330" w:hanging="420"/>
      </w:pPr>
      <w:rPr>
        <w:rFonts w:cs="Times New Roman"/>
      </w:rPr>
    </w:lvl>
    <w:lvl w:ilvl="8" w:tentative="0">
      <w:start w:val="1"/>
      <w:numFmt w:val="lowerRoman"/>
      <w:lvlText w:val="%9."/>
      <w:lvlJc w:val="right"/>
      <w:pPr>
        <w:ind w:left="4750" w:hanging="420"/>
      </w:pPr>
      <w:rPr>
        <w:rFonts w:cs="Times New Roman"/>
      </w:rPr>
    </w:lvl>
  </w:abstractNum>
  <w:abstractNum w:abstractNumId="21">
    <w:nsid w:val="58DD6B7E"/>
    <w:multiLevelType w:val="singleLevel"/>
    <w:tmpl w:val="58DD6B7E"/>
    <w:lvl w:ilvl="0" w:tentative="0">
      <w:start w:val="1"/>
      <w:numFmt w:val="upperLetter"/>
      <w:pStyle w:val="76"/>
      <w:lvlText w:val="%1."/>
      <w:lvlJc w:val="center"/>
      <w:pPr>
        <w:tabs>
          <w:tab w:val="left" w:pos="648"/>
        </w:tabs>
        <w:ind w:left="360" w:hanging="72"/>
      </w:pPr>
      <w:rPr>
        <w:rFonts w:hint="default" w:ascii="Times New Roman" w:hAnsi="Times New Roman"/>
        <w:b/>
        <w:i w:val="0"/>
        <w:sz w:val="28"/>
      </w:rPr>
    </w:lvl>
  </w:abstractNum>
  <w:abstractNum w:abstractNumId="22">
    <w:nsid w:val="5C9F1A23"/>
    <w:multiLevelType w:val="singleLevel"/>
    <w:tmpl w:val="5C9F1A23"/>
    <w:lvl w:ilvl="0" w:tentative="0">
      <w:start w:val="1"/>
      <w:numFmt w:val="decimal"/>
      <w:pStyle w:val="123"/>
      <w:lvlText w:val="%1."/>
      <w:lvlJc w:val="left"/>
      <w:pPr>
        <w:tabs>
          <w:tab w:val="left" w:pos="360"/>
        </w:tabs>
        <w:ind w:left="360" w:hanging="360"/>
      </w:pPr>
      <w:rPr>
        <w:rFonts w:hint="default" w:ascii="Times New Roman" w:hAnsi="Times New Roman"/>
        <w:b/>
        <w:i w:val="0"/>
        <w:sz w:val="32"/>
      </w:rPr>
    </w:lvl>
  </w:abstractNum>
  <w:abstractNum w:abstractNumId="23">
    <w:nsid w:val="6ECAC760"/>
    <w:multiLevelType w:val="singleLevel"/>
    <w:tmpl w:val="6ECAC760"/>
    <w:lvl w:ilvl="0" w:tentative="0">
      <w:start w:val="2"/>
      <w:numFmt w:val="decimal"/>
      <w:suff w:val="space"/>
      <w:lvlText w:val="%1)"/>
      <w:lvlJc w:val="left"/>
    </w:lvl>
  </w:abstractNum>
  <w:num w:numId="1">
    <w:abstractNumId w:val="15"/>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21"/>
  </w:num>
  <w:num w:numId="13">
    <w:abstractNumId w:val="22"/>
  </w:num>
  <w:num w:numId="14">
    <w:abstractNumId w:val="16"/>
  </w:num>
  <w:num w:numId="15">
    <w:abstractNumId w:val="17"/>
    <w:lvlOverride w:ilvl="0">
      <w:startOverride w:val="1"/>
    </w:lvlOverride>
    <w:lvlOverride w:ilvl="1">
      <w:startOverride w:val="2"/>
    </w:lvlOverride>
  </w:num>
  <w:num w:numId="16">
    <w:abstractNumId w:val="12"/>
  </w:num>
  <w:num w:numId="17">
    <w:abstractNumId w:val="19"/>
  </w:num>
  <w:num w:numId="18">
    <w:abstractNumId w:val="11"/>
  </w:num>
  <w:num w:numId="19">
    <w:abstractNumId w:val="14"/>
  </w:num>
  <w:num w:numId="20">
    <w:abstractNumId w:val="10"/>
  </w:num>
  <w:num w:numId="21">
    <w:abstractNumId w:val="23"/>
  </w:num>
  <w:num w:numId="22">
    <w:abstractNumId w:val="13"/>
  </w:num>
  <w:num w:numId="23">
    <w:abstractNumId w:val="20"/>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removePersonalInformation/>
  <w:linkStyles/>
  <w:attachedTemplate r:id="rId1"/>
  <w:documentProtection w:enforcement="0"/>
  <w:defaultTabStop w:val="720"/>
  <w:evenAndOddHeaders w:val="1"/>
  <w:doNotUseMarginsForDrawingGridOrigin w:val="1"/>
  <w:drawingGridHorizontalOrigin w:val="1800"/>
  <w:drawingGridVerticalOrigin w:val="144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A3MzI3sTQxM7IwMbdQ0lEKTi0uzszPAykwrAUAGk9LQSwAAAA="/>
    <w:docVar w:name="commondata" w:val="eyJoZGlkIjoiNjNmNzg0OGZkNGJkOWI1MDc4YzBlZDg0MzNiZmNiZDkifQ=="/>
  </w:docVars>
  <w:rsids>
    <w:rsidRoot w:val="004317AE"/>
    <w:rsid w:val="000007A4"/>
    <w:rsid w:val="00007CDC"/>
    <w:rsid w:val="0001350D"/>
    <w:rsid w:val="00015B65"/>
    <w:rsid w:val="00016162"/>
    <w:rsid w:val="00020CAD"/>
    <w:rsid w:val="00023CA6"/>
    <w:rsid w:val="00023F8E"/>
    <w:rsid w:val="000266A6"/>
    <w:rsid w:val="00026B76"/>
    <w:rsid w:val="00037BFE"/>
    <w:rsid w:val="000420C9"/>
    <w:rsid w:val="00043AE6"/>
    <w:rsid w:val="000468E3"/>
    <w:rsid w:val="0005394C"/>
    <w:rsid w:val="00055459"/>
    <w:rsid w:val="00055C75"/>
    <w:rsid w:val="0005784C"/>
    <w:rsid w:val="000614ED"/>
    <w:rsid w:val="000670BE"/>
    <w:rsid w:val="00070B03"/>
    <w:rsid w:val="00072075"/>
    <w:rsid w:val="00074580"/>
    <w:rsid w:val="00086345"/>
    <w:rsid w:val="00086B0E"/>
    <w:rsid w:val="0009015F"/>
    <w:rsid w:val="00091CD9"/>
    <w:rsid w:val="00092100"/>
    <w:rsid w:val="00095147"/>
    <w:rsid w:val="000951C6"/>
    <w:rsid w:val="00095D93"/>
    <w:rsid w:val="0009644D"/>
    <w:rsid w:val="000B2929"/>
    <w:rsid w:val="000B5F55"/>
    <w:rsid w:val="000B6887"/>
    <w:rsid w:val="000C06D9"/>
    <w:rsid w:val="000C1F78"/>
    <w:rsid w:val="000C2120"/>
    <w:rsid w:val="000E612F"/>
    <w:rsid w:val="000F1D54"/>
    <w:rsid w:val="000F1ED7"/>
    <w:rsid w:val="00105AA5"/>
    <w:rsid w:val="0010707F"/>
    <w:rsid w:val="001100B3"/>
    <w:rsid w:val="0011291E"/>
    <w:rsid w:val="00114764"/>
    <w:rsid w:val="0011681D"/>
    <w:rsid w:val="001178A3"/>
    <w:rsid w:val="00121385"/>
    <w:rsid w:val="001223D6"/>
    <w:rsid w:val="001237CB"/>
    <w:rsid w:val="00124310"/>
    <w:rsid w:val="00125996"/>
    <w:rsid w:val="00126BCD"/>
    <w:rsid w:val="00135893"/>
    <w:rsid w:val="00136537"/>
    <w:rsid w:val="001370EB"/>
    <w:rsid w:val="001405DA"/>
    <w:rsid w:val="00141588"/>
    <w:rsid w:val="00141B55"/>
    <w:rsid w:val="00142102"/>
    <w:rsid w:val="0014284C"/>
    <w:rsid w:val="00144974"/>
    <w:rsid w:val="001516FE"/>
    <w:rsid w:val="0015182C"/>
    <w:rsid w:val="00153C5B"/>
    <w:rsid w:val="0015571C"/>
    <w:rsid w:val="0015654C"/>
    <w:rsid w:val="00161DB5"/>
    <w:rsid w:val="001639BE"/>
    <w:rsid w:val="00164235"/>
    <w:rsid w:val="00173021"/>
    <w:rsid w:val="00174C7B"/>
    <w:rsid w:val="001770B0"/>
    <w:rsid w:val="001774A3"/>
    <w:rsid w:val="00180158"/>
    <w:rsid w:val="00181272"/>
    <w:rsid w:val="001931B7"/>
    <w:rsid w:val="00194FEE"/>
    <w:rsid w:val="00195EBB"/>
    <w:rsid w:val="0019616A"/>
    <w:rsid w:val="00196F91"/>
    <w:rsid w:val="001A0931"/>
    <w:rsid w:val="001A63EC"/>
    <w:rsid w:val="001B1BE3"/>
    <w:rsid w:val="001B2B06"/>
    <w:rsid w:val="001B314B"/>
    <w:rsid w:val="001B7351"/>
    <w:rsid w:val="001C110F"/>
    <w:rsid w:val="001C3D73"/>
    <w:rsid w:val="001C601D"/>
    <w:rsid w:val="001D3B5A"/>
    <w:rsid w:val="001E350E"/>
    <w:rsid w:val="001E3D32"/>
    <w:rsid w:val="001E3D74"/>
    <w:rsid w:val="001E5115"/>
    <w:rsid w:val="001E604C"/>
    <w:rsid w:val="001F42C4"/>
    <w:rsid w:val="002008A9"/>
    <w:rsid w:val="00210123"/>
    <w:rsid w:val="002112A1"/>
    <w:rsid w:val="0021261B"/>
    <w:rsid w:val="002129B6"/>
    <w:rsid w:val="002129B9"/>
    <w:rsid w:val="00213B20"/>
    <w:rsid w:val="00213C70"/>
    <w:rsid w:val="00215C4E"/>
    <w:rsid w:val="00216B44"/>
    <w:rsid w:val="00216F00"/>
    <w:rsid w:val="00220BFA"/>
    <w:rsid w:val="00232474"/>
    <w:rsid w:val="00232AF5"/>
    <w:rsid w:val="00234F15"/>
    <w:rsid w:val="002353A8"/>
    <w:rsid w:val="00241AA4"/>
    <w:rsid w:val="002426AF"/>
    <w:rsid w:val="00242BBE"/>
    <w:rsid w:val="00246171"/>
    <w:rsid w:val="00251FE1"/>
    <w:rsid w:val="0025254B"/>
    <w:rsid w:val="00253B1A"/>
    <w:rsid w:val="00260A8F"/>
    <w:rsid w:val="002616C9"/>
    <w:rsid w:val="002617C8"/>
    <w:rsid w:val="002635E3"/>
    <w:rsid w:val="00263ED5"/>
    <w:rsid w:val="002654BC"/>
    <w:rsid w:val="00266D10"/>
    <w:rsid w:val="00266F6F"/>
    <w:rsid w:val="0027002D"/>
    <w:rsid w:val="00272116"/>
    <w:rsid w:val="002731EC"/>
    <w:rsid w:val="0027330A"/>
    <w:rsid w:val="00273A23"/>
    <w:rsid w:val="00281B5E"/>
    <w:rsid w:val="0029135F"/>
    <w:rsid w:val="002942E8"/>
    <w:rsid w:val="002A0829"/>
    <w:rsid w:val="002A1F6B"/>
    <w:rsid w:val="002A43F4"/>
    <w:rsid w:val="002A5334"/>
    <w:rsid w:val="002A7B8F"/>
    <w:rsid w:val="002A7DC2"/>
    <w:rsid w:val="002B1196"/>
    <w:rsid w:val="002C054E"/>
    <w:rsid w:val="002C174C"/>
    <w:rsid w:val="002C1892"/>
    <w:rsid w:val="002C2FD5"/>
    <w:rsid w:val="002C5A20"/>
    <w:rsid w:val="002D025E"/>
    <w:rsid w:val="002D14B7"/>
    <w:rsid w:val="002D6381"/>
    <w:rsid w:val="002E2656"/>
    <w:rsid w:val="002E2A6D"/>
    <w:rsid w:val="002E7AD1"/>
    <w:rsid w:val="002F2438"/>
    <w:rsid w:val="002F3F09"/>
    <w:rsid w:val="002F4225"/>
    <w:rsid w:val="002F4E02"/>
    <w:rsid w:val="002F6433"/>
    <w:rsid w:val="00301909"/>
    <w:rsid w:val="003071A2"/>
    <w:rsid w:val="00314E26"/>
    <w:rsid w:val="00322956"/>
    <w:rsid w:val="0032320A"/>
    <w:rsid w:val="0032689F"/>
    <w:rsid w:val="00327426"/>
    <w:rsid w:val="00335746"/>
    <w:rsid w:val="00343110"/>
    <w:rsid w:val="003503A0"/>
    <w:rsid w:val="00351201"/>
    <w:rsid w:val="0036000A"/>
    <w:rsid w:val="0036320D"/>
    <w:rsid w:val="00366F84"/>
    <w:rsid w:val="0037071E"/>
    <w:rsid w:val="003738F3"/>
    <w:rsid w:val="003749A1"/>
    <w:rsid w:val="0037590F"/>
    <w:rsid w:val="00382128"/>
    <w:rsid w:val="00382B8A"/>
    <w:rsid w:val="0038303D"/>
    <w:rsid w:val="003838EE"/>
    <w:rsid w:val="00383FA9"/>
    <w:rsid w:val="0039090F"/>
    <w:rsid w:val="00391C6C"/>
    <w:rsid w:val="00392A24"/>
    <w:rsid w:val="0039332E"/>
    <w:rsid w:val="00393FF6"/>
    <w:rsid w:val="00396F5D"/>
    <w:rsid w:val="003978B0"/>
    <w:rsid w:val="003A31B3"/>
    <w:rsid w:val="003A32D1"/>
    <w:rsid w:val="003A3CD4"/>
    <w:rsid w:val="003A45AF"/>
    <w:rsid w:val="003A7D88"/>
    <w:rsid w:val="003B2235"/>
    <w:rsid w:val="003B2E97"/>
    <w:rsid w:val="003B4054"/>
    <w:rsid w:val="003C5B24"/>
    <w:rsid w:val="003C7276"/>
    <w:rsid w:val="003D0A24"/>
    <w:rsid w:val="003D3F84"/>
    <w:rsid w:val="003D4827"/>
    <w:rsid w:val="003E1337"/>
    <w:rsid w:val="003E4547"/>
    <w:rsid w:val="003E4715"/>
    <w:rsid w:val="003F0665"/>
    <w:rsid w:val="003F446C"/>
    <w:rsid w:val="003F7786"/>
    <w:rsid w:val="003F77EC"/>
    <w:rsid w:val="003F7CB8"/>
    <w:rsid w:val="00401221"/>
    <w:rsid w:val="00405883"/>
    <w:rsid w:val="004116C5"/>
    <w:rsid w:val="00414385"/>
    <w:rsid w:val="00416D57"/>
    <w:rsid w:val="00425D8F"/>
    <w:rsid w:val="004317AE"/>
    <w:rsid w:val="004322DD"/>
    <w:rsid w:val="00434415"/>
    <w:rsid w:val="00434F21"/>
    <w:rsid w:val="00437310"/>
    <w:rsid w:val="00440DF0"/>
    <w:rsid w:val="004453DB"/>
    <w:rsid w:val="004464A6"/>
    <w:rsid w:val="004476AE"/>
    <w:rsid w:val="00452836"/>
    <w:rsid w:val="00452AEA"/>
    <w:rsid w:val="00457AB5"/>
    <w:rsid w:val="0046168E"/>
    <w:rsid w:val="00462ED3"/>
    <w:rsid w:val="00467777"/>
    <w:rsid w:val="00467B12"/>
    <w:rsid w:val="004714FC"/>
    <w:rsid w:val="0047396B"/>
    <w:rsid w:val="004754B0"/>
    <w:rsid w:val="0047560B"/>
    <w:rsid w:val="004770CC"/>
    <w:rsid w:val="00481A5C"/>
    <w:rsid w:val="00483993"/>
    <w:rsid w:val="00485C97"/>
    <w:rsid w:val="004860B2"/>
    <w:rsid w:val="00491572"/>
    <w:rsid w:val="004950A2"/>
    <w:rsid w:val="004A0C1A"/>
    <w:rsid w:val="004A45C5"/>
    <w:rsid w:val="004B0E16"/>
    <w:rsid w:val="004B3B0F"/>
    <w:rsid w:val="004B686E"/>
    <w:rsid w:val="004C0EFD"/>
    <w:rsid w:val="004C1EE4"/>
    <w:rsid w:val="004C78C3"/>
    <w:rsid w:val="004D7AFE"/>
    <w:rsid w:val="004E1273"/>
    <w:rsid w:val="004E2B8A"/>
    <w:rsid w:val="004E2EED"/>
    <w:rsid w:val="004E4187"/>
    <w:rsid w:val="004E48DD"/>
    <w:rsid w:val="004E7D15"/>
    <w:rsid w:val="004F14F1"/>
    <w:rsid w:val="00500379"/>
    <w:rsid w:val="005036FB"/>
    <w:rsid w:val="00505F7D"/>
    <w:rsid w:val="00507327"/>
    <w:rsid w:val="005118FA"/>
    <w:rsid w:val="005125B3"/>
    <w:rsid w:val="00520353"/>
    <w:rsid w:val="0052100C"/>
    <w:rsid w:val="00521BFD"/>
    <w:rsid w:val="005234B7"/>
    <w:rsid w:val="00524300"/>
    <w:rsid w:val="005267AB"/>
    <w:rsid w:val="005305A7"/>
    <w:rsid w:val="00533DBE"/>
    <w:rsid w:val="00542804"/>
    <w:rsid w:val="00550DA6"/>
    <w:rsid w:val="00551575"/>
    <w:rsid w:val="00553C7A"/>
    <w:rsid w:val="00555FB8"/>
    <w:rsid w:val="0056189E"/>
    <w:rsid w:val="0056667B"/>
    <w:rsid w:val="005668AE"/>
    <w:rsid w:val="00574C64"/>
    <w:rsid w:val="005762A9"/>
    <w:rsid w:val="00580D1B"/>
    <w:rsid w:val="00580DD9"/>
    <w:rsid w:val="005818B1"/>
    <w:rsid w:val="005828F5"/>
    <w:rsid w:val="005843FF"/>
    <w:rsid w:val="00586704"/>
    <w:rsid w:val="00586EB6"/>
    <w:rsid w:val="00587096"/>
    <w:rsid w:val="00590E97"/>
    <w:rsid w:val="00590EE0"/>
    <w:rsid w:val="00592C5A"/>
    <w:rsid w:val="00597F2F"/>
    <w:rsid w:val="005A143E"/>
    <w:rsid w:val="005A43D0"/>
    <w:rsid w:val="005A4A51"/>
    <w:rsid w:val="005B10F5"/>
    <w:rsid w:val="005B34F3"/>
    <w:rsid w:val="005B35A8"/>
    <w:rsid w:val="005B4B46"/>
    <w:rsid w:val="005B5A44"/>
    <w:rsid w:val="005D20E0"/>
    <w:rsid w:val="005D3AF4"/>
    <w:rsid w:val="005D4F8D"/>
    <w:rsid w:val="005D6857"/>
    <w:rsid w:val="005E0E20"/>
    <w:rsid w:val="005E551F"/>
    <w:rsid w:val="005F00E5"/>
    <w:rsid w:val="005F1C8F"/>
    <w:rsid w:val="005F31AD"/>
    <w:rsid w:val="005F7BA2"/>
    <w:rsid w:val="006008E0"/>
    <w:rsid w:val="006051FC"/>
    <w:rsid w:val="00607E02"/>
    <w:rsid w:val="00617627"/>
    <w:rsid w:val="00620931"/>
    <w:rsid w:val="00620C5E"/>
    <w:rsid w:val="0062410D"/>
    <w:rsid w:val="00626F14"/>
    <w:rsid w:val="0064109B"/>
    <w:rsid w:val="00643362"/>
    <w:rsid w:val="00647013"/>
    <w:rsid w:val="00653F2E"/>
    <w:rsid w:val="00656EF7"/>
    <w:rsid w:val="006636E5"/>
    <w:rsid w:val="00671A65"/>
    <w:rsid w:val="00671DAC"/>
    <w:rsid w:val="00671EB9"/>
    <w:rsid w:val="0067215F"/>
    <w:rsid w:val="006745E0"/>
    <w:rsid w:val="00681107"/>
    <w:rsid w:val="00681C52"/>
    <w:rsid w:val="006823A5"/>
    <w:rsid w:val="00690183"/>
    <w:rsid w:val="00695C59"/>
    <w:rsid w:val="006A2069"/>
    <w:rsid w:val="006B0DD7"/>
    <w:rsid w:val="006B2FF3"/>
    <w:rsid w:val="006B57A0"/>
    <w:rsid w:val="006B7E3B"/>
    <w:rsid w:val="006C3947"/>
    <w:rsid w:val="006C5ABD"/>
    <w:rsid w:val="006D30E9"/>
    <w:rsid w:val="006D5414"/>
    <w:rsid w:val="006E5FD9"/>
    <w:rsid w:val="006F1486"/>
    <w:rsid w:val="006F4C4A"/>
    <w:rsid w:val="006F7BA7"/>
    <w:rsid w:val="0070170D"/>
    <w:rsid w:val="00711CFF"/>
    <w:rsid w:val="00713EAE"/>
    <w:rsid w:val="0072068E"/>
    <w:rsid w:val="00722A31"/>
    <w:rsid w:val="00723BF8"/>
    <w:rsid w:val="00723C3E"/>
    <w:rsid w:val="00731FA1"/>
    <w:rsid w:val="00733C10"/>
    <w:rsid w:val="007420AA"/>
    <w:rsid w:val="00743E83"/>
    <w:rsid w:val="00746BFF"/>
    <w:rsid w:val="00757DE6"/>
    <w:rsid w:val="0076097C"/>
    <w:rsid w:val="00761CAF"/>
    <w:rsid w:val="007700EC"/>
    <w:rsid w:val="00772BDA"/>
    <w:rsid w:val="00773701"/>
    <w:rsid w:val="0077606D"/>
    <w:rsid w:val="007828B3"/>
    <w:rsid w:val="00786CF4"/>
    <w:rsid w:val="00787B7F"/>
    <w:rsid w:val="0079279E"/>
    <w:rsid w:val="0079714B"/>
    <w:rsid w:val="007A186D"/>
    <w:rsid w:val="007A7A3A"/>
    <w:rsid w:val="007B094B"/>
    <w:rsid w:val="007B1C41"/>
    <w:rsid w:val="007B5AD1"/>
    <w:rsid w:val="007B793B"/>
    <w:rsid w:val="007C293C"/>
    <w:rsid w:val="007D371E"/>
    <w:rsid w:val="007D64D5"/>
    <w:rsid w:val="007E0B30"/>
    <w:rsid w:val="007E19A2"/>
    <w:rsid w:val="007E1D3E"/>
    <w:rsid w:val="007E3EC1"/>
    <w:rsid w:val="007E538D"/>
    <w:rsid w:val="007F025B"/>
    <w:rsid w:val="007F29FA"/>
    <w:rsid w:val="007F3021"/>
    <w:rsid w:val="007F6B6E"/>
    <w:rsid w:val="008015DC"/>
    <w:rsid w:val="00802A1F"/>
    <w:rsid w:val="00803DAA"/>
    <w:rsid w:val="008048EC"/>
    <w:rsid w:val="0081071A"/>
    <w:rsid w:val="008115A1"/>
    <w:rsid w:val="00817811"/>
    <w:rsid w:val="0082006A"/>
    <w:rsid w:val="008209AA"/>
    <w:rsid w:val="008227C6"/>
    <w:rsid w:val="00822EF0"/>
    <w:rsid w:val="00824302"/>
    <w:rsid w:val="00825D7A"/>
    <w:rsid w:val="0082626B"/>
    <w:rsid w:val="00826736"/>
    <w:rsid w:val="00834243"/>
    <w:rsid w:val="008447A5"/>
    <w:rsid w:val="0084752A"/>
    <w:rsid w:val="00850319"/>
    <w:rsid w:val="00851C12"/>
    <w:rsid w:val="008546EC"/>
    <w:rsid w:val="0085534F"/>
    <w:rsid w:val="00860062"/>
    <w:rsid w:val="00860D1F"/>
    <w:rsid w:val="00862279"/>
    <w:rsid w:val="00863DC7"/>
    <w:rsid w:val="00867AFB"/>
    <w:rsid w:val="008763D2"/>
    <w:rsid w:val="008808F5"/>
    <w:rsid w:val="0088094F"/>
    <w:rsid w:val="00891183"/>
    <w:rsid w:val="008946AD"/>
    <w:rsid w:val="008976CC"/>
    <w:rsid w:val="008A3196"/>
    <w:rsid w:val="008A46EA"/>
    <w:rsid w:val="008B0B69"/>
    <w:rsid w:val="008B500C"/>
    <w:rsid w:val="008B755F"/>
    <w:rsid w:val="008C161C"/>
    <w:rsid w:val="008D0458"/>
    <w:rsid w:val="008E5089"/>
    <w:rsid w:val="008E5A53"/>
    <w:rsid w:val="008F0A35"/>
    <w:rsid w:val="008F4466"/>
    <w:rsid w:val="00902FF3"/>
    <w:rsid w:val="00903DA4"/>
    <w:rsid w:val="00911B9A"/>
    <w:rsid w:val="009125B2"/>
    <w:rsid w:val="00915EAD"/>
    <w:rsid w:val="00916A26"/>
    <w:rsid w:val="00931511"/>
    <w:rsid w:val="0093190C"/>
    <w:rsid w:val="00933C81"/>
    <w:rsid w:val="00937299"/>
    <w:rsid w:val="00942C5A"/>
    <w:rsid w:val="00942F76"/>
    <w:rsid w:val="009442D6"/>
    <w:rsid w:val="00944712"/>
    <w:rsid w:val="009502C5"/>
    <w:rsid w:val="00955CAB"/>
    <w:rsid w:val="00963D72"/>
    <w:rsid w:val="009668F7"/>
    <w:rsid w:val="00966DCE"/>
    <w:rsid w:val="009824D7"/>
    <w:rsid w:val="009876B1"/>
    <w:rsid w:val="0099514E"/>
    <w:rsid w:val="009A10F3"/>
    <w:rsid w:val="009D056A"/>
    <w:rsid w:val="009D1CC3"/>
    <w:rsid w:val="009D2728"/>
    <w:rsid w:val="009D41E6"/>
    <w:rsid w:val="009E0B6B"/>
    <w:rsid w:val="009E1E45"/>
    <w:rsid w:val="009E6EE3"/>
    <w:rsid w:val="009F69B5"/>
    <w:rsid w:val="00A00FCF"/>
    <w:rsid w:val="00A02BD9"/>
    <w:rsid w:val="00A07CDE"/>
    <w:rsid w:val="00A07CEA"/>
    <w:rsid w:val="00A20682"/>
    <w:rsid w:val="00A208C2"/>
    <w:rsid w:val="00A260D6"/>
    <w:rsid w:val="00A315A3"/>
    <w:rsid w:val="00A32814"/>
    <w:rsid w:val="00A33AE3"/>
    <w:rsid w:val="00A3436E"/>
    <w:rsid w:val="00A35276"/>
    <w:rsid w:val="00A356FB"/>
    <w:rsid w:val="00A3605E"/>
    <w:rsid w:val="00A37A78"/>
    <w:rsid w:val="00A411EC"/>
    <w:rsid w:val="00A412B7"/>
    <w:rsid w:val="00A43809"/>
    <w:rsid w:val="00A512D7"/>
    <w:rsid w:val="00A5721C"/>
    <w:rsid w:val="00A70FAE"/>
    <w:rsid w:val="00A72CA6"/>
    <w:rsid w:val="00A76C81"/>
    <w:rsid w:val="00A82511"/>
    <w:rsid w:val="00A877EF"/>
    <w:rsid w:val="00A96C2B"/>
    <w:rsid w:val="00A97918"/>
    <w:rsid w:val="00AA4E1D"/>
    <w:rsid w:val="00AA64C7"/>
    <w:rsid w:val="00AB0CBB"/>
    <w:rsid w:val="00AB409B"/>
    <w:rsid w:val="00AB4AA6"/>
    <w:rsid w:val="00AC0020"/>
    <w:rsid w:val="00AC0AFC"/>
    <w:rsid w:val="00AC2D5B"/>
    <w:rsid w:val="00AC4D78"/>
    <w:rsid w:val="00AC5F71"/>
    <w:rsid w:val="00AC6587"/>
    <w:rsid w:val="00AC72F6"/>
    <w:rsid w:val="00AD37CF"/>
    <w:rsid w:val="00AD3A8B"/>
    <w:rsid w:val="00AD57AB"/>
    <w:rsid w:val="00AD5C3D"/>
    <w:rsid w:val="00AD7F1F"/>
    <w:rsid w:val="00AE5993"/>
    <w:rsid w:val="00AE7560"/>
    <w:rsid w:val="00AF274F"/>
    <w:rsid w:val="00B01A1F"/>
    <w:rsid w:val="00B02240"/>
    <w:rsid w:val="00B02E42"/>
    <w:rsid w:val="00B07911"/>
    <w:rsid w:val="00B132D3"/>
    <w:rsid w:val="00B13C01"/>
    <w:rsid w:val="00B144F0"/>
    <w:rsid w:val="00B20D9D"/>
    <w:rsid w:val="00B2559B"/>
    <w:rsid w:val="00B26004"/>
    <w:rsid w:val="00B2761C"/>
    <w:rsid w:val="00B32E1A"/>
    <w:rsid w:val="00B36F2A"/>
    <w:rsid w:val="00B379A6"/>
    <w:rsid w:val="00B42B36"/>
    <w:rsid w:val="00B43C1F"/>
    <w:rsid w:val="00B452CF"/>
    <w:rsid w:val="00B532DC"/>
    <w:rsid w:val="00B5331E"/>
    <w:rsid w:val="00B53AAB"/>
    <w:rsid w:val="00B55FDF"/>
    <w:rsid w:val="00B6044B"/>
    <w:rsid w:val="00B63C42"/>
    <w:rsid w:val="00B6414E"/>
    <w:rsid w:val="00B66774"/>
    <w:rsid w:val="00B76468"/>
    <w:rsid w:val="00B76FBA"/>
    <w:rsid w:val="00B91490"/>
    <w:rsid w:val="00B948EA"/>
    <w:rsid w:val="00B95316"/>
    <w:rsid w:val="00BA07AA"/>
    <w:rsid w:val="00BA1678"/>
    <w:rsid w:val="00BA4220"/>
    <w:rsid w:val="00BA7B5F"/>
    <w:rsid w:val="00BB269A"/>
    <w:rsid w:val="00BB29CC"/>
    <w:rsid w:val="00BB38A4"/>
    <w:rsid w:val="00BB5BE8"/>
    <w:rsid w:val="00BB5CB4"/>
    <w:rsid w:val="00BC4F12"/>
    <w:rsid w:val="00BC6C16"/>
    <w:rsid w:val="00BC73D4"/>
    <w:rsid w:val="00BD49E8"/>
    <w:rsid w:val="00BD5505"/>
    <w:rsid w:val="00BE1B89"/>
    <w:rsid w:val="00BE55EC"/>
    <w:rsid w:val="00BF1875"/>
    <w:rsid w:val="00BF19C6"/>
    <w:rsid w:val="00BF48CA"/>
    <w:rsid w:val="00BF49ED"/>
    <w:rsid w:val="00BF5A6C"/>
    <w:rsid w:val="00C0099C"/>
    <w:rsid w:val="00C01536"/>
    <w:rsid w:val="00C02438"/>
    <w:rsid w:val="00C07DFA"/>
    <w:rsid w:val="00C20EC4"/>
    <w:rsid w:val="00C23279"/>
    <w:rsid w:val="00C23549"/>
    <w:rsid w:val="00C23E16"/>
    <w:rsid w:val="00C2500C"/>
    <w:rsid w:val="00C27E87"/>
    <w:rsid w:val="00C32D23"/>
    <w:rsid w:val="00C337A6"/>
    <w:rsid w:val="00C34062"/>
    <w:rsid w:val="00C3448D"/>
    <w:rsid w:val="00C401AF"/>
    <w:rsid w:val="00C40729"/>
    <w:rsid w:val="00C42175"/>
    <w:rsid w:val="00C42492"/>
    <w:rsid w:val="00C515D5"/>
    <w:rsid w:val="00C577BF"/>
    <w:rsid w:val="00C57DD8"/>
    <w:rsid w:val="00C631AA"/>
    <w:rsid w:val="00C71AAB"/>
    <w:rsid w:val="00C71D85"/>
    <w:rsid w:val="00C738E1"/>
    <w:rsid w:val="00C739DA"/>
    <w:rsid w:val="00C81481"/>
    <w:rsid w:val="00C82978"/>
    <w:rsid w:val="00C82DDF"/>
    <w:rsid w:val="00C87E3C"/>
    <w:rsid w:val="00C91099"/>
    <w:rsid w:val="00C912DA"/>
    <w:rsid w:val="00C92585"/>
    <w:rsid w:val="00C93D89"/>
    <w:rsid w:val="00CA4646"/>
    <w:rsid w:val="00CA5C77"/>
    <w:rsid w:val="00CA7D92"/>
    <w:rsid w:val="00CB3FD1"/>
    <w:rsid w:val="00CB542D"/>
    <w:rsid w:val="00CB5DD5"/>
    <w:rsid w:val="00CC0A5A"/>
    <w:rsid w:val="00CC193B"/>
    <w:rsid w:val="00CC4AAD"/>
    <w:rsid w:val="00CC66FE"/>
    <w:rsid w:val="00CD02AE"/>
    <w:rsid w:val="00CD2A18"/>
    <w:rsid w:val="00CD5FDD"/>
    <w:rsid w:val="00CE0B27"/>
    <w:rsid w:val="00CE30E9"/>
    <w:rsid w:val="00CF03DA"/>
    <w:rsid w:val="00CF1254"/>
    <w:rsid w:val="00CF5BAB"/>
    <w:rsid w:val="00CF709B"/>
    <w:rsid w:val="00CF7732"/>
    <w:rsid w:val="00D037C9"/>
    <w:rsid w:val="00D03F23"/>
    <w:rsid w:val="00D04812"/>
    <w:rsid w:val="00D04A02"/>
    <w:rsid w:val="00D07511"/>
    <w:rsid w:val="00D11767"/>
    <w:rsid w:val="00D24B45"/>
    <w:rsid w:val="00D25ECE"/>
    <w:rsid w:val="00D27690"/>
    <w:rsid w:val="00D3184A"/>
    <w:rsid w:val="00D33BDC"/>
    <w:rsid w:val="00D4203A"/>
    <w:rsid w:val="00D47BCB"/>
    <w:rsid w:val="00D53A34"/>
    <w:rsid w:val="00D54E38"/>
    <w:rsid w:val="00D55741"/>
    <w:rsid w:val="00D60CE8"/>
    <w:rsid w:val="00D65D74"/>
    <w:rsid w:val="00D675CB"/>
    <w:rsid w:val="00D677C1"/>
    <w:rsid w:val="00D71C74"/>
    <w:rsid w:val="00D721B0"/>
    <w:rsid w:val="00D738F0"/>
    <w:rsid w:val="00D7432D"/>
    <w:rsid w:val="00D8343B"/>
    <w:rsid w:val="00D84A6C"/>
    <w:rsid w:val="00D8638F"/>
    <w:rsid w:val="00D87EDD"/>
    <w:rsid w:val="00D90631"/>
    <w:rsid w:val="00D90663"/>
    <w:rsid w:val="00D91EF2"/>
    <w:rsid w:val="00D92238"/>
    <w:rsid w:val="00D94757"/>
    <w:rsid w:val="00D9758F"/>
    <w:rsid w:val="00D97CA7"/>
    <w:rsid w:val="00DA09BE"/>
    <w:rsid w:val="00DA672A"/>
    <w:rsid w:val="00DB2E25"/>
    <w:rsid w:val="00DB478C"/>
    <w:rsid w:val="00DC1C3E"/>
    <w:rsid w:val="00DC4570"/>
    <w:rsid w:val="00DC519E"/>
    <w:rsid w:val="00DE4819"/>
    <w:rsid w:val="00DE7C31"/>
    <w:rsid w:val="00DF27B5"/>
    <w:rsid w:val="00DF7010"/>
    <w:rsid w:val="00DF79E2"/>
    <w:rsid w:val="00E00EAC"/>
    <w:rsid w:val="00E064AE"/>
    <w:rsid w:val="00E07F9C"/>
    <w:rsid w:val="00E07FC4"/>
    <w:rsid w:val="00E102F3"/>
    <w:rsid w:val="00E15C35"/>
    <w:rsid w:val="00E17367"/>
    <w:rsid w:val="00E22695"/>
    <w:rsid w:val="00E2593B"/>
    <w:rsid w:val="00E26689"/>
    <w:rsid w:val="00E31CF5"/>
    <w:rsid w:val="00E3455B"/>
    <w:rsid w:val="00E37463"/>
    <w:rsid w:val="00E4177D"/>
    <w:rsid w:val="00E52304"/>
    <w:rsid w:val="00E54FA8"/>
    <w:rsid w:val="00E60C43"/>
    <w:rsid w:val="00E64415"/>
    <w:rsid w:val="00E65599"/>
    <w:rsid w:val="00E67617"/>
    <w:rsid w:val="00E711A2"/>
    <w:rsid w:val="00E767B4"/>
    <w:rsid w:val="00E835F1"/>
    <w:rsid w:val="00E83F96"/>
    <w:rsid w:val="00E854BD"/>
    <w:rsid w:val="00E8610B"/>
    <w:rsid w:val="00E910B2"/>
    <w:rsid w:val="00E92727"/>
    <w:rsid w:val="00E97AFF"/>
    <w:rsid w:val="00EA03A6"/>
    <w:rsid w:val="00EA2A7B"/>
    <w:rsid w:val="00EA2C31"/>
    <w:rsid w:val="00EA751E"/>
    <w:rsid w:val="00EB217E"/>
    <w:rsid w:val="00EB6F44"/>
    <w:rsid w:val="00ED0DB8"/>
    <w:rsid w:val="00ED2F80"/>
    <w:rsid w:val="00ED3867"/>
    <w:rsid w:val="00ED4193"/>
    <w:rsid w:val="00EE12E0"/>
    <w:rsid w:val="00EE2934"/>
    <w:rsid w:val="00EE654A"/>
    <w:rsid w:val="00EF372C"/>
    <w:rsid w:val="00EF3A9A"/>
    <w:rsid w:val="00EF3DAD"/>
    <w:rsid w:val="00EF4916"/>
    <w:rsid w:val="00EF6242"/>
    <w:rsid w:val="00EF7C3E"/>
    <w:rsid w:val="00F038F5"/>
    <w:rsid w:val="00F03E91"/>
    <w:rsid w:val="00F05B40"/>
    <w:rsid w:val="00F071F3"/>
    <w:rsid w:val="00F072BB"/>
    <w:rsid w:val="00F11E7E"/>
    <w:rsid w:val="00F11F1C"/>
    <w:rsid w:val="00F121C5"/>
    <w:rsid w:val="00F122C7"/>
    <w:rsid w:val="00F25843"/>
    <w:rsid w:val="00F30E28"/>
    <w:rsid w:val="00F41C43"/>
    <w:rsid w:val="00F41DE6"/>
    <w:rsid w:val="00F45AD9"/>
    <w:rsid w:val="00F52CF3"/>
    <w:rsid w:val="00F53735"/>
    <w:rsid w:val="00F567E9"/>
    <w:rsid w:val="00F636DE"/>
    <w:rsid w:val="00F67C21"/>
    <w:rsid w:val="00F703B5"/>
    <w:rsid w:val="00F71BA2"/>
    <w:rsid w:val="00F741A4"/>
    <w:rsid w:val="00F757E0"/>
    <w:rsid w:val="00F77044"/>
    <w:rsid w:val="00F9313C"/>
    <w:rsid w:val="00FA207F"/>
    <w:rsid w:val="00FA52DF"/>
    <w:rsid w:val="00FA6818"/>
    <w:rsid w:val="00FC11ED"/>
    <w:rsid w:val="00FC17A6"/>
    <w:rsid w:val="00FC5807"/>
    <w:rsid w:val="00FD1218"/>
    <w:rsid w:val="00FD234F"/>
    <w:rsid w:val="00FD253C"/>
    <w:rsid w:val="00FD3CC9"/>
    <w:rsid w:val="00FD580E"/>
    <w:rsid w:val="00FD7540"/>
    <w:rsid w:val="00FE4797"/>
    <w:rsid w:val="00FE5CE7"/>
    <w:rsid w:val="00FF1F4D"/>
    <w:rsid w:val="00FF4ED7"/>
    <w:rsid w:val="00FF6959"/>
    <w:rsid w:val="022D3E82"/>
    <w:rsid w:val="03691366"/>
    <w:rsid w:val="0383541B"/>
    <w:rsid w:val="039E565E"/>
    <w:rsid w:val="03B945FF"/>
    <w:rsid w:val="03CC3139"/>
    <w:rsid w:val="051D1CF8"/>
    <w:rsid w:val="05BC432A"/>
    <w:rsid w:val="07417BF9"/>
    <w:rsid w:val="0A165A11"/>
    <w:rsid w:val="0ADB287B"/>
    <w:rsid w:val="0B366FCE"/>
    <w:rsid w:val="0C4D03F8"/>
    <w:rsid w:val="0D353E98"/>
    <w:rsid w:val="0E0674CB"/>
    <w:rsid w:val="0E6B5FB3"/>
    <w:rsid w:val="0EAC6C99"/>
    <w:rsid w:val="0F4313AD"/>
    <w:rsid w:val="10450FD3"/>
    <w:rsid w:val="105E7539"/>
    <w:rsid w:val="109622CD"/>
    <w:rsid w:val="13135720"/>
    <w:rsid w:val="14BB673F"/>
    <w:rsid w:val="15442F02"/>
    <w:rsid w:val="15B551CF"/>
    <w:rsid w:val="15D64198"/>
    <w:rsid w:val="15E22C83"/>
    <w:rsid w:val="162B2D81"/>
    <w:rsid w:val="16795FE5"/>
    <w:rsid w:val="16B743DB"/>
    <w:rsid w:val="190A4893"/>
    <w:rsid w:val="1A760B1C"/>
    <w:rsid w:val="1C8F6BCB"/>
    <w:rsid w:val="1D9B6F67"/>
    <w:rsid w:val="1EB20F02"/>
    <w:rsid w:val="202A3C10"/>
    <w:rsid w:val="209867FC"/>
    <w:rsid w:val="2121124A"/>
    <w:rsid w:val="226F4F17"/>
    <w:rsid w:val="22DE58A3"/>
    <w:rsid w:val="23420AD6"/>
    <w:rsid w:val="24BC71FA"/>
    <w:rsid w:val="252A75A8"/>
    <w:rsid w:val="257909FE"/>
    <w:rsid w:val="26034E4A"/>
    <w:rsid w:val="26100BF2"/>
    <w:rsid w:val="268A30F4"/>
    <w:rsid w:val="26B15024"/>
    <w:rsid w:val="26CB6A3E"/>
    <w:rsid w:val="27692B50"/>
    <w:rsid w:val="27DD2831"/>
    <w:rsid w:val="28A1727E"/>
    <w:rsid w:val="297F1834"/>
    <w:rsid w:val="2A7725E1"/>
    <w:rsid w:val="2B6D12EE"/>
    <w:rsid w:val="2B9D6F34"/>
    <w:rsid w:val="2BFA0DD4"/>
    <w:rsid w:val="2C1C1094"/>
    <w:rsid w:val="2C484235"/>
    <w:rsid w:val="2CFD540B"/>
    <w:rsid w:val="2D960D1E"/>
    <w:rsid w:val="2E303C3D"/>
    <w:rsid w:val="2E891D73"/>
    <w:rsid w:val="2F836387"/>
    <w:rsid w:val="2FE13586"/>
    <w:rsid w:val="30047C27"/>
    <w:rsid w:val="3032654E"/>
    <w:rsid w:val="30A400EC"/>
    <w:rsid w:val="320C360F"/>
    <w:rsid w:val="32D51EFF"/>
    <w:rsid w:val="344F3E6B"/>
    <w:rsid w:val="34AF6BD9"/>
    <w:rsid w:val="357B6668"/>
    <w:rsid w:val="35F81038"/>
    <w:rsid w:val="36190908"/>
    <w:rsid w:val="362314D1"/>
    <w:rsid w:val="374A3530"/>
    <w:rsid w:val="37661A13"/>
    <w:rsid w:val="38515211"/>
    <w:rsid w:val="3B783AC3"/>
    <w:rsid w:val="3BA3214C"/>
    <w:rsid w:val="3BFA72E3"/>
    <w:rsid w:val="3E60174A"/>
    <w:rsid w:val="3EEB0A50"/>
    <w:rsid w:val="3EF1338A"/>
    <w:rsid w:val="4024583C"/>
    <w:rsid w:val="40C20DFC"/>
    <w:rsid w:val="41714B15"/>
    <w:rsid w:val="41DB084E"/>
    <w:rsid w:val="41E73B64"/>
    <w:rsid w:val="42267D17"/>
    <w:rsid w:val="4228646B"/>
    <w:rsid w:val="43E048FB"/>
    <w:rsid w:val="45E5530C"/>
    <w:rsid w:val="45F15B51"/>
    <w:rsid w:val="467227B5"/>
    <w:rsid w:val="46B14868"/>
    <w:rsid w:val="480D2A00"/>
    <w:rsid w:val="48312833"/>
    <w:rsid w:val="48574242"/>
    <w:rsid w:val="49465201"/>
    <w:rsid w:val="494D1F7B"/>
    <w:rsid w:val="4A3A5B9D"/>
    <w:rsid w:val="4ACE54AE"/>
    <w:rsid w:val="4B8643CF"/>
    <w:rsid w:val="4BD10134"/>
    <w:rsid w:val="4BF72FAB"/>
    <w:rsid w:val="4CE5058C"/>
    <w:rsid w:val="4D196CA5"/>
    <w:rsid w:val="4E182858"/>
    <w:rsid w:val="4F4F603B"/>
    <w:rsid w:val="4FD70C0A"/>
    <w:rsid w:val="4FFC60EF"/>
    <w:rsid w:val="500D77C0"/>
    <w:rsid w:val="50575F45"/>
    <w:rsid w:val="50E9040E"/>
    <w:rsid w:val="521C57B9"/>
    <w:rsid w:val="524B421D"/>
    <w:rsid w:val="52BC0479"/>
    <w:rsid w:val="52FC4B82"/>
    <w:rsid w:val="532D522B"/>
    <w:rsid w:val="53317B0A"/>
    <w:rsid w:val="53CD4895"/>
    <w:rsid w:val="547717E8"/>
    <w:rsid w:val="56945DA5"/>
    <w:rsid w:val="58C16128"/>
    <w:rsid w:val="593F254F"/>
    <w:rsid w:val="597676FF"/>
    <w:rsid w:val="599967CC"/>
    <w:rsid w:val="5AE071F0"/>
    <w:rsid w:val="5AFF06EA"/>
    <w:rsid w:val="5B89157D"/>
    <w:rsid w:val="5CAA529F"/>
    <w:rsid w:val="5D9C72FB"/>
    <w:rsid w:val="5E205937"/>
    <w:rsid w:val="5E776E3A"/>
    <w:rsid w:val="5E91357C"/>
    <w:rsid w:val="5F235883"/>
    <w:rsid w:val="5FEB5247"/>
    <w:rsid w:val="5FFE71C2"/>
    <w:rsid w:val="60511E6B"/>
    <w:rsid w:val="609A4358"/>
    <w:rsid w:val="60B82E9A"/>
    <w:rsid w:val="60BB7F25"/>
    <w:rsid w:val="617415D6"/>
    <w:rsid w:val="61DA1701"/>
    <w:rsid w:val="63902A3A"/>
    <w:rsid w:val="63F006BE"/>
    <w:rsid w:val="646FB7D5"/>
    <w:rsid w:val="6522330D"/>
    <w:rsid w:val="652B5A0C"/>
    <w:rsid w:val="652F2B95"/>
    <w:rsid w:val="658904F7"/>
    <w:rsid w:val="662041EB"/>
    <w:rsid w:val="6743265D"/>
    <w:rsid w:val="68702121"/>
    <w:rsid w:val="6937424D"/>
    <w:rsid w:val="69AE01E3"/>
    <w:rsid w:val="6ADB3F3C"/>
    <w:rsid w:val="6B0825B5"/>
    <w:rsid w:val="6B5641C9"/>
    <w:rsid w:val="6C420643"/>
    <w:rsid w:val="6CFC053E"/>
    <w:rsid w:val="6E9F7350"/>
    <w:rsid w:val="6EC53C31"/>
    <w:rsid w:val="6F2B2817"/>
    <w:rsid w:val="6F6E4370"/>
    <w:rsid w:val="6F750316"/>
    <w:rsid w:val="704340B6"/>
    <w:rsid w:val="708E37B8"/>
    <w:rsid w:val="71301DB8"/>
    <w:rsid w:val="71DA13B7"/>
    <w:rsid w:val="72061843"/>
    <w:rsid w:val="73BC0511"/>
    <w:rsid w:val="74C13783"/>
    <w:rsid w:val="74CC52DE"/>
    <w:rsid w:val="778F258C"/>
    <w:rsid w:val="77C80710"/>
    <w:rsid w:val="78137FDD"/>
    <w:rsid w:val="784D56D6"/>
    <w:rsid w:val="78EB2942"/>
    <w:rsid w:val="78F939F1"/>
    <w:rsid w:val="7A113239"/>
    <w:rsid w:val="7C1150F9"/>
    <w:rsid w:val="7CAF663E"/>
    <w:rsid w:val="7DB30E94"/>
    <w:rsid w:val="7DDF059D"/>
    <w:rsid w:val="7F665C1D"/>
    <w:rsid w:val="90D66FA4"/>
    <w:rsid w:val="CFF655A5"/>
    <w:rsid w:val="FF7D4B1F"/>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99" w:semiHidden="0" w:name="Normal Indent"/>
    <w:lsdException w:qFormat="1" w:unhideWhenUsed="0" w:uiPriority="0" w:name="footnote text"/>
    <w:lsdException w:qFormat="1" w:unhideWhenUsed="0" w:uiPriority="0" w:name="annotation text"/>
    <w:lsdException w:qFormat="1" w:unhideWhenUsed="0" w:uiPriority="99" w:semiHidden="0" w:name="header"/>
    <w:lsdException w:qFormat="1" w:unhideWhenUsed="0" w:uiPriority="0" w:semiHidden="0" w:name="footer"/>
    <w:lsdException w:qFormat="1" w:unhideWhenUsed="0" w:uiPriority="0" w:name="index heading"/>
    <w:lsdException w:qFormat="1" w:unhideWhenUsed="0" w:uiPriority="0" w:semiHidden="0" w:name="caption"/>
    <w:lsdException w:qFormat="1" w:unhideWhenUsed="0" w:uiPriority="0" w:name="table of figures"/>
    <w:lsdException w:qFormat="1" w:unhideWhenUsed="0" w:uiPriority="0" w:semiHidden="0" w:name="envelope address"/>
    <w:lsdException w:qFormat="1" w:unhideWhenUsed="0" w:uiPriority="0" w:semiHidden="0" w:name="envelope return"/>
    <w:lsdException w:qFormat="1" w:unhideWhenUsed="0"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qFormat="1" w:unhideWhenUsed="0" w:uiPriority="0" w:name="endnote text"/>
    <w:lsdException w:qFormat="1" w:unhideWhenUsed="0" w:uiPriority="0" w:name="table of authorities"/>
    <w:lsdException w:qFormat="1" w:unhideWhenUsed="0" w:uiPriority="0" w:name="macro"/>
    <w:lsdException w:qFormat="1" w:unhideWhenUsed="0"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iPriority="99" w:name="HTML Acronym"/>
    <w:lsdException w:qFormat="1" w:unhideWhenUsed="0" w:uiPriority="0" w:semiHidden="0"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sz w:val="24"/>
      <w:lang w:val="en-US" w:eastAsia="en-US" w:bidi="ar-SA"/>
    </w:rPr>
  </w:style>
  <w:style w:type="paragraph" w:styleId="3">
    <w:name w:val="heading 1"/>
    <w:basedOn w:val="1"/>
    <w:next w:val="1"/>
    <w:qFormat/>
    <w:uiPriority w:val="0"/>
    <w:pPr>
      <w:keepNext/>
      <w:spacing w:after="200"/>
      <w:jc w:val="center"/>
      <w:outlineLvl w:val="0"/>
    </w:pPr>
    <w:rPr>
      <w:b/>
      <w:kern w:val="28"/>
      <w:sz w:val="52"/>
    </w:rPr>
  </w:style>
  <w:style w:type="paragraph" w:styleId="4">
    <w:name w:val="heading 2"/>
    <w:basedOn w:val="1"/>
    <w:next w:val="1"/>
    <w:qFormat/>
    <w:uiPriority w:val="0"/>
    <w:pPr>
      <w:tabs>
        <w:tab w:val="left" w:pos="619"/>
      </w:tabs>
      <w:spacing w:after="200"/>
      <w:jc w:val="center"/>
      <w:outlineLvl w:val="1"/>
    </w:pPr>
    <w:rPr>
      <w:rFonts w:ascii="Times New Roman Bold" w:hAnsi="Times New Roman Bold"/>
      <w:b/>
      <w:sz w:val="36"/>
    </w:rPr>
  </w:style>
  <w:style w:type="paragraph" w:styleId="5">
    <w:name w:val="heading 3"/>
    <w:basedOn w:val="1"/>
    <w:next w:val="1"/>
    <w:qFormat/>
    <w:uiPriority w:val="0"/>
    <w:pPr>
      <w:tabs>
        <w:tab w:val="left" w:pos="864"/>
      </w:tabs>
      <w:spacing w:after="200"/>
      <w:ind w:left="864" w:hanging="432"/>
      <w:outlineLvl w:val="2"/>
    </w:pPr>
  </w:style>
  <w:style w:type="paragraph" w:styleId="6">
    <w:name w:val="heading 4"/>
    <w:basedOn w:val="1"/>
    <w:next w:val="1"/>
    <w:qFormat/>
    <w:uiPriority w:val="0"/>
    <w:pPr>
      <w:numPr>
        <w:ilvl w:val="3"/>
        <w:numId w:val="1"/>
      </w:numPr>
      <w:spacing w:after="200"/>
      <w:outlineLvl w:val="3"/>
    </w:pPr>
  </w:style>
  <w:style w:type="paragraph" w:styleId="7">
    <w:name w:val="heading 5"/>
    <w:basedOn w:val="1"/>
    <w:next w:val="1"/>
    <w:qFormat/>
    <w:uiPriority w:val="0"/>
    <w:pPr>
      <w:spacing w:before="240" w:after="60"/>
      <w:jc w:val="center"/>
      <w:outlineLvl w:val="4"/>
    </w:pPr>
    <w:rPr>
      <w:b/>
      <w:sz w:val="28"/>
    </w:rPr>
  </w:style>
  <w:style w:type="paragraph" w:styleId="8">
    <w:name w:val="heading 6"/>
    <w:basedOn w:val="1"/>
    <w:next w:val="1"/>
    <w:qFormat/>
    <w:uiPriority w:val="0"/>
    <w:pPr>
      <w:numPr>
        <w:ilvl w:val="5"/>
        <w:numId w:val="1"/>
      </w:numPr>
      <w:spacing w:before="240" w:after="60"/>
      <w:outlineLvl w:val="5"/>
    </w:pPr>
    <w:rPr>
      <w:i/>
      <w:sz w:val="22"/>
    </w:rPr>
  </w:style>
  <w:style w:type="paragraph" w:styleId="9">
    <w:name w:val="heading 7"/>
    <w:basedOn w:val="1"/>
    <w:next w:val="1"/>
    <w:qFormat/>
    <w:uiPriority w:val="0"/>
    <w:pPr>
      <w:numPr>
        <w:ilvl w:val="6"/>
        <w:numId w:val="1"/>
      </w:numPr>
      <w:spacing w:before="240" w:after="60"/>
      <w:outlineLvl w:val="6"/>
    </w:pPr>
    <w:rPr>
      <w:rFonts w:ascii="Arial" w:hAnsi="Arial"/>
      <w:sz w:val="20"/>
    </w:rPr>
  </w:style>
  <w:style w:type="paragraph" w:styleId="10">
    <w:name w:val="heading 8"/>
    <w:basedOn w:val="1"/>
    <w:next w:val="1"/>
    <w:qFormat/>
    <w:uiPriority w:val="0"/>
    <w:pPr>
      <w:numPr>
        <w:ilvl w:val="7"/>
        <w:numId w:val="1"/>
      </w:numPr>
      <w:spacing w:before="240" w:after="60"/>
      <w:outlineLvl w:val="7"/>
    </w:pPr>
    <w:rPr>
      <w:rFonts w:ascii="Arial" w:hAnsi="Arial"/>
      <w:i/>
      <w:sz w:val="20"/>
    </w:rPr>
  </w:style>
  <w:style w:type="paragraph" w:styleId="11">
    <w:name w:val="heading 9"/>
    <w:basedOn w:val="1"/>
    <w:next w:val="1"/>
    <w:qFormat/>
    <w:uiPriority w:val="0"/>
    <w:pPr>
      <w:numPr>
        <w:ilvl w:val="8"/>
        <w:numId w:val="1"/>
      </w:numPr>
      <w:spacing w:before="240" w:after="60"/>
      <w:outlineLvl w:val="8"/>
    </w:pPr>
    <w:rPr>
      <w:rFonts w:ascii="Arial" w:hAnsi="Arial"/>
      <w:b/>
      <w:i/>
      <w:sz w:val="1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96"/>
    <w:semiHidden/>
    <w:qFormat/>
    <w:uiPriority w:val="0"/>
    <w:pPr>
      <w:tabs>
        <w:tab w:val="left" w:pos="480"/>
        <w:tab w:val="left" w:pos="960"/>
        <w:tab w:val="left" w:pos="1440"/>
        <w:tab w:val="left" w:pos="1920"/>
        <w:tab w:val="left" w:pos="2400"/>
        <w:tab w:val="left" w:pos="2880"/>
        <w:tab w:val="left" w:pos="3360"/>
        <w:tab w:val="left" w:pos="3840"/>
        <w:tab w:val="left" w:pos="4320"/>
      </w:tabs>
    </w:pPr>
    <w:rPr>
      <w:rFonts w:ascii="Courier New" w:hAnsi="Courier New" w:eastAsia="宋体" w:cs="Courier New"/>
      <w:lang w:val="en-US" w:eastAsia="en-US" w:bidi="ar-SA"/>
    </w:rPr>
  </w:style>
  <w:style w:type="paragraph" w:styleId="12">
    <w:name w:val="List 3"/>
    <w:basedOn w:val="1"/>
    <w:qFormat/>
    <w:uiPriority w:val="0"/>
    <w:pPr>
      <w:ind w:left="1080" w:hanging="360"/>
      <w:jc w:val="left"/>
    </w:pPr>
    <w:rPr>
      <w:sz w:val="20"/>
    </w:rPr>
  </w:style>
  <w:style w:type="paragraph" w:styleId="13">
    <w:name w:val="toc 7"/>
    <w:basedOn w:val="1"/>
    <w:next w:val="1"/>
    <w:semiHidden/>
    <w:qFormat/>
    <w:uiPriority w:val="0"/>
    <w:pPr>
      <w:ind w:left="1440"/>
      <w:jc w:val="left"/>
    </w:pPr>
    <w:rPr>
      <w:sz w:val="20"/>
    </w:rPr>
  </w:style>
  <w:style w:type="paragraph" w:styleId="14">
    <w:name w:val="List Number 2"/>
    <w:basedOn w:val="1"/>
    <w:qFormat/>
    <w:uiPriority w:val="0"/>
    <w:pPr>
      <w:numPr>
        <w:ilvl w:val="0"/>
        <w:numId w:val="2"/>
      </w:numPr>
      <w:jc w:val="left"/>
    </w:pPr>
    <w:rPr>
      <w:sz w:val="20"/>
    </w:rPr>
  </w:style>
  <w:style w:type="paragraph" w:styleId="15">
    <w:name w:val="table of authorities"/>
    <w:basedOn w:val="1"/>
    <w:next w:val="1"/>
    <w:semiHidden/>
    <w:qFormat/>
    <w:uiPriority w:val="0"/>
    <w:pPr>
      <w:ind w:left="200" w:hanging="200"/>
      <w:jc w:val="left"/>
    </w:pPr>
    <w:rPr>
      <w:sz w:val="20"/>
    </w:rPr>
  </w:style>
  <w:style w:type="paragraph" w:styleId="16">
    <w:name w:val="Note Heading"/>
    <w:basedOn w:val="1"/>
    <w:next w:val="1"/>
    <w:link w:val="97"/>
    <w:qFormat/>
    <w:uiPriority w:val="0"/>
    <w:pPr>
      <w:jc w:val="left"/>
    </w:pPr>
    <w:rPr>
      <w:sz w:val="20"/>
    </w:rPr>
  </w:style>
  <w:style w:type="paragraph" w:styleId="17">
    <w:name w:val="List Bullet 4"/>
    <w:basedOn w:val="1"/>
    <w:qFormat/>
    <w:uiPriority w:val="0"/>
    <w:pPr>
      <w:numPr>
        <w:ilvl w:val="0"/>
        <w:numId w:val="3"/>
      </w:numPr>
      <w:jc w:val="left"/>
    </w:pPr>
    <w:rPr>
      <w:sz w:val="20"/>
    </w:rPr>
  </w:style>
  <w:style w:type="paragraph" w:styleId="18">
    <w:name w:val="index 8"/>
    <w:basedOn w:val="1"/>
    <w:next w:val="1"/>
    <w:semiHidden/>
    <w:qFormat/>
    <w:uiPriority w:val="0"/>
    <w:pPr>
      <w:ind w:left="1600" w:hanging="200"/>
      <w:jc w:val="left"/>
    </w:pPr>
    <w:rPr>
      <w:sz w:val="20"/>
    </w:rPr>
  </w:style>
  <w:style w:type="paragraph" w:styleId="19">
    <w:name w:val="E-mail Signature"/>
    <w:basedOn w:val="1"/>
    <w:link w:val="98"/>
    <w:qFormat/>
    <w:uiPriority w:val="0"/>
    <w:pPr>
      <w:jc w:val="left"/>
    </w:pPr>
    <w:rPr>
      <w:sz w:val="20"/>
    </w:rPr>
  </w:style>
  <w:style w:type="paragraph" w:styleId="20">
    <w:name w:val="List Number"/>
    <w:basedOn w:val="1"/>
    <w:qFormat/>
    <w:uiPriority w:val="0"/>
    <w:pPr>
      <w:numPr>
        <w:ilvl w:val="0"/>
        <w:numId w:val="4"/>
      </w:numPr>
      <w:jc w:val="left"/>
    </w:pPr>
    <w:rPr>
      <w:sz w:val="20"/>
    </w:rPr>
  </w:style>
  <w:style w:type="paragraph" w:styleId="21">
    <w:name w:val="Normal Indent"/>
    <w:basedOn w:val="1"/>
    <w:qFormat/>
    <w:uiPriority w:val="99"/>
    <w:pPr>
      <w:ind w:left="720"/>
      <w:jc w:val="left"/>
    </w:pPr>
    <w:rPr>
      <w:sz w:val="20"/>
    </w:rPr>
  </w:style>
  <w:style w:type="paragraph" w:styleId="22">
    <w:name w:val="caption"/>
    <w:basedOn w:val="1"/>
    <w:next w:val="1"/>
    <w:qFormat/>
    <w:uiPriority w:val="0"/>
    <w:pPr>
      <w:jc w:val="left"/>
    </w:pPr>
    <w:rPr>
      <w:rFonts w:ascii="Courier New" w:hAnsi="Courier New"/>
    </w:rPr>
  </w:style>
  <w:style w:type="paragraph" w:styleId="23">
    <w:name w:val="index 5"/>
    <w:basedOn w:val="1"/>
    <w:next w:val="1"/>
    <w:semiHidden/>
    <w:qFormat/>
    <w:uiPriority w:val="0"/>
    <w:pPr>
      <w:ind w:left="1000" w:hanging="200"/>
      <w:jc w:val="left"/>
    </w:pPr>
    <w:rPr>
      <w:sz w:val="20"/>
    </w:rPr>
  </w:style>
  <w:style w:type="paragraph" w:styleId="24">
    <w:name w:val="List Bullet"/>
    <w:basedOn w:val="1"/>
    <w:qFormat/>
    <w:uiPriority w:val="0"/>
    <w:pPr>
      <w:numPr>
        <w:ilvl w:val="0"/>
        <w:numId w:val="5"/>
      </w:numPr>
      <w:jc w:val="left"/>
    </w:pPr>
    <w:rPr>
      <w:sz w:val="20"/>
    </w:rPr>
  </w:style>
  <w:style w:type="paragraph" w:styleId="25">
    <w:name w:val="envelope address"/>
    <w:basedOn w:val="1"/>
    <w:qFormat/>
    <w:uiPriority w:val="0"/>
    <w:pPr>
      <w:framePr w:w="7920" w:h="1980" w:hRule="exact" w:hSpace="180" w:wrap="around" w:vAnchor="margin" w:hAnchor="page" w:xAlign="center" w:yAlign="bottom"/>
      <w:ind w:left="2880"/>
      <w:jc w:val="left"/>
    </w:pPr>
    <w:rPr>
      <w:rFonts w:ascii="Arial" w:hAnsi="Arial" w:cs="Arial"/>
      <w:szCs w:val="24"/>
    </w:rPr>
  </w:style>
  <w:style w:type="paragraph" w:styleId="26">
    <w:name w:val="Document Map"/>
    <w:basedOn w:val="1"/>
    <w:semiHidden/>
    <w:qFormat/>
    <w:uiPriority w:val="0"/>
    <w:pPr>
      <w:shd w:val="clear" w:color="auto" w:fill="000080"/>
    </w:pPr>
    <w:rPr>
      <w:rFonts w:ascii="Tahoma" w:hAnsi="Tahoma"/>
    </w:rPr>
  </w:style>
  <w:style w:type="paragraph" w:styleId="27">
    <w:name w:val="toa heading"/>
    <w:basedOn w:val="1"/>
    <w:next w:val="1"/>
    <w:semiHidden/>
    <w:qFormat/>
    <w:uiPriority w:val="0"/>
    <w:pPr>
      <w:spacing w:before="120"/>
      <w:jc w:val="left"/>
    </w:pPr>
    <w:rPr>
      <w:rFonts w:ascii="Arial" w:hAnsi="Arial" w:cs="Arial"/>
      <w:b/>
      <w:bCs/>
      <w:szCs w:val="24"/>
    </w:rPr>
  </w:style>
  <w:style w:type="paragraph" w:styleId="28">
    <w:name w:val="annotation text"/>
    <w:basedOn w:val="1"/>
    <w:link w:val="99"/>
    <w:semiHidden/>
    <w:qFormat/>
    <w:uiPriority w:val="0"/>
    <w:pPr>
      <w:jc w:val="left"/>
    </w:pPr>
    <w:rPr>
      <w:sz w:val="20"/>
    </w:rPr>
  </w:style>
  <w:style w:type="paragraph" w:styleId="29">
    <w:name w:val="index 6"/>
    <w:basedOn w:val="1"/>
    <w:next w:val="1"/>
    <w:semiHidden/>
    <w:qFormat/>
    <w:uiPriority w:val="0"/>
    <w:pPr>
      <w:ind w:left="1200" w:hanging="200"/>
      <w:jc w:val="left"/>
    </w:pPr>
    <w:rPr>
      <w:sz w:val="20"/>
    </w:rPr>
  </w:style>
  <w:style w:type="paragraph" w:styleId="30">
    <w:name w:val="Salutation"/>
    <w:basedOn w:val="1"/>
    <w:next w:val="1"/>
    <w:link w:val="100"/>
    <w:qFormat/>
    <w:uiPriority w:val="0"/>
    <w:pPr>
      <w:jc w:val="left"/>
    </w:pPr>
    <w:rPr>
      <w:sz w:val="20"/>
    </w:rPr>
  </w:style>
  <w:style w:type="paragraph" w:styleId="31">
    <w:name w:val="Body Text 3"/>
    <w:basedOn w:val="1"/>
    <w:qFormat/>
    <w:uiPriority w:val="0"/>
    <w:rPr>
      <w:i/>
      <w:sz w:val="20"/>
    </w:rPr>
  </w:style>
  <w:style w:type="paragraph" w:styleId="32">
    <w:name w:val="Closing"/>
    <w:basedOn w:val="1"/>
    <w:link w:val="101"/>
    <w:qFormat/>
    <w:uiPriority w:val="0"/>
    <w:pPr>
      <w:ind w:left="4320"/>
      <w:jc w:val="left"/>
    </w:pPr>
    <w:rPr>
      <w:sz w:val="20"/>
    </w:rPr>
  </w:style>
  <w:style w:type="paragraph" w:styleId="33">
    <w:name w:val="List Bullet 3"/>
    <w:basedOn w:val="1"/>
    <w:qFormat/>
    <w:uiPriority w:val="0"/>
    <w:pPr>
      <w:numPr>
        <w:ilvl w:val="0"/>
        <w:numId w:val="6"/>
      </w:numPr>
      <w:jc w:val="left"/>
    </w:pPr>
    <w:rPr>
      <w:sz w:val="20"/>
    </w:rPr>
  </w:style>
  <w:style w:type="paragraph" w:styleId="34">
    <w:name w:val="Body Text"/>
    <w:basedOn w:val="1"/>
    <w:link w:val="102"/>
    <w:qFormat/>
    <w:uiPriority w:val="0"/>
  </w:style>
  <w:style w:type="paragraph" w:styleId="35">
    <w:name w:val="Body Text Indent"/>
    <w:basedOn w:val="1"/>
    <w:link w:val="103"/>
    <w:qFormat/>
    <w:uiPriority w:val="0"/>
    <w:pPr>
      <w:ind w:left="720"/>
    </w:pPr>
  </w:style>
  <w:style w:type="paragraph" w:styleId="36">
    <w:name w:val="List Number 3"/>
    <w:basedOn w:val="1"/>
    <w:qFormat/>
    <w:uiPriority w:val="0"/>
    <w:pPr>
      <w:numPr>
        <w:ilvl w:val="0"/>
        <w:numId w:val="7"/>
      </w:numPr>
      <w:jc w:val="left"/>
    </w:pPr>
    <w:rPr>
      <w:sz w:val="20"/>
    </w:rPr>
  </w:style>
  <w:style w:type="paragraph" w:styleId="37">
    <w:name w:val="List 2"/>
    <w:basedOn w:val="1"/>
    <w:qFormat/>
    <w:uiPriority w:val="0"/>
    <w:pPr>
      <w:ind w:left="720" w:hanging="360"/>
      <w:jc w:val="left"/>
    </w:pPr>
    <w:rPr>
      <w:sz w:val="20"/>
    </w:rPr>
  </w:style>
  <w:style w:type="paragraph" w:styleId="38">
    <w:name w:val="List Continue"/>
    <w:basedOn w:val="1"/>
    <w:qFormat/>
    <w:uiPriority w:val="0"/>
    <w:pPr>
      <w:spacing w:after="120"/>
      <w:ind w:left="360"/>
      <w:jc w:val="left"/>
    </w:pPr>
    <w:rPr>
      <w:sz w:val="20"/>
    </w:rPr>
  </w:style>
  <w:style w:type="paragraph" w:styleId="39">
    <w:name w:val="Block Text"/>
    <w:basedOn w:val="1"/>
    <w:qFormat/>
    <w:uiPriority w:val="99"/>
    <w:pPr>
      <w:tabs>
        <w:tab w:val="left" w:pos="387"/>
        <w:tab w:val="left" w:pos="1107"/>
      </w:tabs>
      <w:suppressAutoHyphens/>
      <w:ind w:left="720" w:right="-72"/>
      <w:jc w:val="left"/>
    </w:pPr>
    <w:rPr>
      <w:i/>
    </w:rPr>
  </w:style>
  <w:style w:type="paragraph" w:styleId="40">
    <w:name w:val="List Bullet 2"/>
    <w:basedOn w:val="1"/>
    <w:qFormat/>
    <w:uiPriority w:val="0"/>
    <w:pPr>
      <w:numPr>
        <w:ilvl w:val="0"/>
        <w:numId w:val="8"/>
      </w:numPr>
      <w:jc w:val="left"/>
    </w:pPr>
    <w:rPr>
      <w:sz w:val="20"/>
    </w:rPr>
  </w:style>
  <w:style w:type="paragraph" w:styleId="41">
    <w:name w:val="HTML Address"/>
    <w:basedOn w:val="1"/>
    <w:link w:val="104"/>
    <w:qFormat/>
    <w:uiPriority w:val="0"/>
    <w:pPr>
      <w:jc w:val="left"/>
    </w:pPr>
    <w:rPr>
      <w:i/>
      <w:iCs/>
      <w:sz w:val="20"/>
    </w:rPr>
  </w:style>
  <w:style w:type="paragraph" w:styleId="42">
    <w:name w:val="index 4"/>
    <w:basedOn w:val="1"/>
    <w:next w:val="1"/>
    <w:semiHidden/>
    <w:qFormat/>
    <w:uiPriority w:val="0"/>
    <w:pPr>
      <w:ind w:left="800" w:hanging="200"/>
      <w:jc w:val="left"/>
    </w:pPr>
    <w:rPr>
      <w:sz w:val="20"/>
    </w:rPr>
  </w:style>
  <w:style w:type="paragraph" w:styleId="43">
    <w:name w:val="toc 5"/>
    <w:basedOn w:val="1"/>
    <w:next w:val="1"/>
    <w:semiHidden/>
    <w:qFormat/>
    <w:uiPriority w:val="0"/>
    <w:pPr>
      <w:ind w:left="960"/>
      <w:jc w:val="left"/>
    </w:pPr>
    <w:rPr>
      <w:sz w:val="20"/>
    </w:rPr>
  </w:style>
  <w:style w:type="paragraph" w:styleId="44">
    <w:name w:val="toc 3"/>
    <w:basedOn w:val="1"/>
    <w:next w:val="1"/>
    <w:semiHidden/>
    <w:qFormat/>
    <w:uiPriority w:val="0"/>
    <w:pPr>
      <w:spacing w:before="120"/>
      <w:ind w:left="360"/>
      <w:jc w:val="left"/>
    </w:pPr>
    <w:rPr>
      <w:b/>
      <w:i/>
    </w:rPr>
  </w:style>
  <w:style w:type="paragraph" w:styleId="45">
    <w:name w:val="Plain Text"/>
    <w:basedOn w:val="1"/>
    <w:link w:val="105"/>
    <w:qFormat/>
    <w:uiPriority w:val="0"/>
    <w:pPr>
      <w:jc w:val="left"/>
    </w:pPr>
    <w:rPr>
      <w:rFonts w:ascii="Courier New" w:hAnsi="Courier New" w:cs="Courier New"/>
      <w:sz w:val="20"/>
    </w:rPr>
  </w:style>
  <w:style w:type="paragraph" w:styleId="46">
    <w:name w:val="List Bullet 5"/>
    <w:basedOn w:val="1"/>
    <w:qFormat/>
    <w:uiPriority w:val="0"/>
    <w:pPr>
      <w:numPr>
        <w:ilvl w:val="0"/>
        <w:numId w:val="9"/>
      </w:numPr>
      <w:jc w:val="left"/>
    </w:pPr>
    <w:rPr>
      <w:sz w:val="20"/>
    </w:rPr>
  </w:style>
  <w:style w:type="paragraph" w:styleId="47">
    <w:name w:val="List Number 4"/>
    <w:basedOn w:val="1"/>
    <w:qFormat/>
    <w:uiPriority w:val="0"/>
    <w:pPr>
      <w:numPr>
        <w:ilvl w:val="0"/>
        <w:numId w:val="10"/>
      </w:numPr>
      <w:jc w:val="left"/>
    </w:pPr>
    <w:rPr>
      <w:sz w:val="20"/>
    </w:rPr>
  </w:style>
  <w:style w:type="paragraph" w:styleId="48">
    <w:name w:val="toc 8"/>
    <w:basedOn w:val="1"/>
    <w:next w:val="1"/>
    <w:semiHidden/>
    <w:qFormat/>
    <w:uiPriority w:val="0"/>
    <w:pPr>
      <w:ind w:left="1680"/>
      <w:jc w:val="left"/>
    </w:pPr>
    <w:rPr>
      <w:sz w:val="20"/>
    </w:rPr>
  </w:style>
  <w:style w:type="paragraph" w:styleId="49">
    <w:name w:val="index 3"/>
    <w:basedOn w:val="1"/>
    <w:next w:val="1"/>
    <w:semiHidden/>
    <w:qFormat/>
    <w:uiPriority w:val="0"/>
    <w:pPr>
      <w:ind w:left="600" w:hanging="200"/>
      <w:jc w:val="left"/>
    </w:pPr>
    <w:rPr>
      <w:sz w:val="20"/>
    </w:rPr>
  </w:style>
  <w:style w:type="paragraph" w:styleId="50">
    <w:name w:val="Date"/>
    <w:basedOn w:val="1"/>
    <w:next w:val="1"/>
    <w:link w:val="106"/>
    <w:qFormat/>
    <w:uiPriority w:val="0"/>
    <w:pPr>
      <w:jc w:val="left"/>
    </w:pPr>
    <w:rPr>
      <w:sz w:val="20"/>
    </w:rPr>
  </w:style>
  <w:style w:type="paragraph" w:styleId="51">
    <w:name w:val="Body Text Indent 2"/>
    <w:basedOn w:val="1"/>
    <w:qFormat/>
    <w:uiPriority w:val="0"/>
    <w:pPr>
      <w:ind w:left="360" w:firstLine="360"/>
    </w:pPr>
  </w:style>
  <w:style w:type="paragraph" w:styleId="52">
    <w:name w:val="endnote text"/>
    <w:basedOn w:val="1"/>
    <w:link w:val="107"/>
    <w:semiHidden/>
    <w:qFormat/>
    <w:uiPriority w:val="0"/>
    <w:pPr>
      <w:jc w:val="left"/>
    </w:pPr>
    <w:rPr>
      <w:sz w:val="20"/>
    </w:rPr>
  </w:style>
  <w:style w:type="paragraph" w:styleId="53">
    <w:name w:val="List Continue 5"/>
    <w:basedOn w:val="1"/>
    <w:qFormat/>
    <w:uiPriority w:val="0"/>
    <w:pPr>
      <w:spacing w:after="120"/>
      <w:ind w:left="1800"/>
      <w:jc w:val="left"/>
    </w:pPr>
    <w:rPr>
      <w:sz w:val="20"/>
    </w:rPr>
  </w:style>
  <w:style w:type="paragraph" w:styleId="54">
    <w:name w:val="Balloon Text"/>
    <w:basedOn w:val="1"/>
    <w:link w:val="108"/>
    <w:semiHidden/>
    <w:qFormat/>
    <w:uiPriority w:val="0"/>
    <w:pPr>
      <w:jc w:val="left"/>
    </w:pPr>
    <w:rPr>
      <w:rFonts w:ascii="Tahoma" w:hAnsi="Tahoma" w:cs="Tahoma"/>
      <w:sz w:val="16"/>
      <w:szCs w:val="16"/>
    </w:rPr>
  </w:style>
  <w:style w:type="paragraph" w:styleId="55">
    <w:name w:val="footer"/>
    <w:basedOn w:val="1"/>
    <w:qFormat/>
    <w:uiPriority w:val="0"/>
    <w:pPr>
      <w:tabs>
        <w:tab w:val="right" w:leader="underscore" w:pos="9504"/>
      </w:tabs>
      <w:spacing w:before="120"/>
      <w:jc w:val="left"/>
    </w:pPr>
  </w:style>
  <w:style w:type="paragraph" w:styleId="56">
    <w:name w:val="envelope return"/>
    <w:basedOn w:val="1"/>
    <w:qFormat/>
    <w:uiPriority w:val="0"/>
    <w:pPr>
      <w:jc w:val="left"/>
    </w:pPr>
    <w:rPr>
      <w:rFonts w:ascii="Arial" w:hAnsi="Arial" w:cs="Arial"/>
      <w:sz w:val="20"/>
    </w:rPr>
  </w:style>
  <w:style w:type="paragraph" w:styleId="57">
    <w:name w:val="header"/>
    <w:basedOn w:val="1"/>
    <w:link w:val="109"/>
    <w:qFormat/>
    <w:uiPriority w:val="99"/>
    <w:pPr>
      <w:pBdr>
        <w:bottom w:val="single" w:color="000000" w:sz="4" w:space="1"/>
      </w:pBdr>
      <w:tabs>
        <w:tab w:val="right" w:pos="9000"/>
      </w:tabs>
    </w:pPr>
    <w:rPr>
      <w:sz w:val="20"/>
    </w:rPr>
  </w:style>
  <w:style w:type="paragraph" w:styleId="58">
    <w:name w:val="Signature"/>
    <w:basedOn w:val="1"/>
    <w:link w:val="110"/>
    <w:qFormat/>
    <w:uiPriority w:val="0"/>
    <w:pPr>
      <w:ind w:left="4320"/>
      <w:jc w:val="left"/>
    </w:pPr>
    <w:rPr>
      <w:sz w:val="20"/>
    </w:rPr>
  </w:style>
  <w:style w:type="paragraph" w:styleId="59">
    <w:name w:val="toc 1"/>
    <w:basedOn w:val="1"/>
    <w:next w:val="1"/>
    <w:semiHidden/>
    <w:qFormat/>
    <w:uiPriority w:val="0"/>
    <w:pPr>
      <w:spacing w:before="240" w:after="240"/>
      <w:jc w:val="left"/>
      <w:outlineLvl w:val="0"/>
    </w:pPr>
    <w:rPr>
      <w:b/>
    </w:rPr>
  </w:style>
  <w:style w:type="paragraph" w:styleId="60">
    <w:name w:val="List Continue 4"/>
    <w:basedOn w:val="1"/>
    <w:qFormat/>
    <w:uiPriority w:val="0"/>
    <w:pPr>
      <w:spacing w:after="120"/>
      <w:ind w:left="1440"/>
      <w:jc w:val="left"/>
    </w:pPr>
    <w:rPr>
      <w:sz w:val="20"/>
    </w:rPr>
  </w:style>
  <w:style w:type="paragraph" w:styleId="61">
    <w:name w:val="toc 4"/>
    <w:basedOn w:val="1"/>
    <w:next w:val="1"/>
    <w:semiHidden/>
    <w:qFormat/>
    <w:uiPriority w:val="0"/>
    <w:pPr>
      <w:ind w:left="720"/>
      <w:jc w:val="left"/>
    </w:pPr>
    <w:rPr>
      <w:sz w:val="20"/>
    </w:rPr>
  </w:style>
  <w:style w:type="paragraph" w:styleId="62">
    <w:name w:val="index heading"/>
    <w:basedOn w:val="1"/>
    <w:next w:val="63"/>
    <w:semiHidden/>
    <w:qFormat/>
    <w:uiPriority w:val="0"/>
    <w:pPr>
      <w:jc w:val="left"/>
    </w:pPr>
    <w:rPr>
      <w:rFonts w:ascii="Arial" w:hAnsi="Arial" w:cs="Arial"/>
      <w:b/>
      <w:bCs/>
      <w:sz w:val="20"/>
    </w:rPr>
  </w:style>
  <w:style w:type="paragraph" w:styleId="63">
    <w:name w:val="index 1"/>
    <w:basedOn w:val="1"/>
    <w:next w:val="1"/>
    <w:semiHidden/>
    <w:qFormat/>
    <w:uiPriority w:val="0"/>
    <w:pPr>
      <w:ind w:left="200" w:hanging="200"/>
      <w:jc w:val="left"/>
    </w:pPr>
    <w:rPr>
      <w:sz w:val="20"/>
    </w:rPr>
  </w:style>
  <w:style w:type="paragraph" w:styleId="64">
    <w:name w:val="Subtitle"/>
    <w:basedOn w:val="1"/>
    <w:qFormat/>
    <w:uiPriority w:val="0"/>
    <w:pPr>
      <w:jc w:val="center"/>
    </w:pPr>
    <w:rPr>
      <w:b/>
      <w:sz w:val="44"/>
    </w:rPr>
  </w:style>
  <w:style w:type="paragraph" w:styleId="65">
    <w:name w:val="List Number 5"/>
    <w:basedOn w:val="1"/>
    <w:qFormat/>
    <w:uiPriority w:val="0"/>
    <w:pPr>
      <w:numPr>
        <w:ilvl w:val="0"/>
        <w:numId w:val="11"/>
      </w:numPr>
      <w:jc w:val="left"/>
    </w:pPr>
    <w:rPr>
      <w:sz w:val="20"/>
    </w:rPr>
  </w:style>
  <w:style w:type="paragraph" w:styleId="66">
    <w:name w:val="List"/>
    <w:basedOn w:val="1"/>
    <w:qFormat/>
    <w:uiPriority w:val="0"/>
    <w:pPr>
      <w:spacing w:before="120" w:after="120"/>
      <w:ind w:left="1440"/>
    </w:pPr>
  </w:style>
  <w:style w:type="paragraph" w:styleId="67">
    <w:name w:val="footnote text"/>
    <w:basedOn w:val="1"/>
    <w:semiHidden/>
    <w:qFormat/>
    <w:uiPriority w:val="0"/>
    <w:rPr>
      <w:sz w:val="20"/>
    </w:rPr>
  </w:style>
  <w:style w:type="paragraph" w:styleId="68">
    <w:name w:val="toc 6"/>
    <w:basedOn w:val="1"/>
    <w:next w:val="1"/>
    <w:semiHidden/>
    <w:qFormat/>
    <w:uiPriority w:val="0"/>
    <w:pPr>
      <w:ind w:left="1200"/>
      <w:jc w:val="left"/>
    </w:pPr>
    <w:rPr>
      <w:sz w:val="20"/>
    </w:rPr>
  </w:style>
  <w:style w:type="paragraph" w:styleId="69">
    <w:name w:val="List 5"/>
    <w:basedOn w:val="1"/>
    <w:qFormat/>
    <w:uiPriority w:val="0"/>
    <w:pPr>
      <w:ind w:left="1800" w:hanging="360"/>
      <w:jc w:val="left"/>
    </w:pPr>
    <w:rPr>
      <w:sz w:val="20"/>
    </w:rPr>
  </w:style>
  <w:style w:type="paragraph" w:styleId="70">
    <w:name w:val="Body Text Indent 3"/>
    <w:basedOn w:val="1"/>
    <w:qFormat/>
    <w:uiPriority w:val="0"/>
    <w:pPr>
      <w:spacing w:before="240"/>
      <w:ind w:left="576"/>
    </w:pPr>
  </w:style>
  <w:style w:type="paragraph" w:styleId="71">
    <w:name w:val="index 7"/>
    <w:basedOn w:val="1"/>
    <w:next w:val="1"/>
    <w:semiHidden/>
    <w:qFormat/>
    <w:uiPriority w:val="0"/>
    <w:pPr>
      <w:ind w:left="1400" w:hanging="200"/>
      <w:jc w:val="left"/>
    </w:pPr>
    <w:rPr>
      <w:sz w:val="20"/>
    </w:rPr>
  </w:style>
  <w:style w:type="paragraph" w:styleId="72">
    <w:name w:val="index 9"/>
    <w:basedOn w:val="1"/>
    <w:next w:val="1"/>
    <w:semiHidden/>
    <w:qFormat/>
    <w:uiPriority w:val="0"/>
    <w:pPr>
      <w:ind w:left="1800" w:hanging="200"/>
      <w:jc w:val="left"/>
    </w:pPr>
    <w:rPr>
      <w:sz w:val="20"/>
    </w:rPr>
  </w:style>
  <w:style w:type="paragraph" w:styleId="73">
    <w:name w:val="table of figures"/>
    <w:basedOn w:val="1"/>
    <w:next w:val="1"/>
    <w:semiHidden/>
    <w:qFormat/>
    <w:uiPriority w:val="0"/>
    <w:pPr>
      <w:ind w:left="480" w:hanging="480"/>
    </w:pPr>
  </w:style>
  <w:style w:type="paragraph" w:styleId="74">
    <w:name w:val="toc 2"/>
    <w:basedOn w:val="1"/>
    <w:next w:val="1"/>
    <w:semiHidden/>
    <w:qFormat/>
    <w:uiPriority w:val="0"/>
    <w:pPr>
      <w:tabs>
        <w:tab w:val="left" w:pos="720"/>
        <w:tab w:val="left" w:pos="1440"/>
        <w:tab w:val="right" w:leader="dot" w:pos="9000"/>
      </w:tabs>
      <w:spacing w:after="120"/>
      <w:ind w:left="720" w:hanging="720"/>
      <w:jc w:val="left"/>
      <w:outlineLvl w:val="1"/>
    </w:pPr>
    <w:rPr>
      <w:lang w:val="en-MY" w:eastAsia="zh-CN"/>
    </w:rPr>
  </w:style>
  <w:style w:type="paragraph" w:styleId="75">
    <w:name w:val="toc 9"/>
    <w:basedOn w:val="1"/>
    <w:next w:val="1"/>
    <w:semiHidden/>
    <w:qFormat/>
    <w:uiPriority w:val="0"/>
    <w:pPr>
      <w:spacing w:before="120" w:after="120"/>
      <w:jc w:val="left"/>
    </w:pPr>
    <w:rPr>
      <w:b/>
      <w:sz w:val="32"/>
    </w:rPr>
  </w:style>
  <w:style w:type="paragraph" w:styleId="76">
    <w:name w:val="Body Text 2"/>
    <w:basedOn w:val="1"/>
    <w:qFormat/>
    <w:uiPriority w:val="0"/>
    <w:pPr>
      <w:numPr>
        <w:ilvl w:val="0"/>
        <w:numId w:val="12"/>
      </w:numPr>
      <w:spacing w:before="120" w:after="120"/>
      <w:jc w:val="center"/>
    </w:pPr>
    <w:rPr>
      <w:b/>
      <w:sz w:val="28"/>
    </w:rPr>
  </w:style>
  <w:style w:type="paragraph" w:styleId="77">
    <w:name w:val="List 4"/>
    <w:basedOn w:val="1"/>
    <w:qFormat/>
    <w:uiPriority w:val="0"/>
    <w:pPr>
      <w:ind w:left="1440" w:hanging="360"/>
      <w:jc w:val="left"/>
    </w:pPr>
    <w:rPr>
      <w:sz w:val="20"/>
    </w:rPr>
  </w:style>
  <w:style w:type="paragraph" w:styleId="78">
    <w:name w:val="List Continue 2"/>
    <w:basedOn w:val="1"/>
    <w:qFormat/>
    <w:uiPriority w:val="0"/>
    <w:pPr>
      <w:spacing w:after="120"/>
      <w:ind w:left="720"/>
      <w:jc w:val="left"/>
    </w:pPr>
    <w:rPr>
      <w:sz w:val="20"/>
    </w:rPr>
  </w:style>
  <w:style w:type="paragraph" w:styleId="79">
    <w:name w:val="Message Header"/>
    <w:basedOn w:val="1"/>
    <w:link w:val="111"/>
    <w:qFormat/>
    <w:uiPriority w:val="0"/>
    <w:pPr>
      <w:pBdr>
        <w:top w:val="single" w:color="auto" w:sz="6" w:space="1"/>
        <w:left w:val="single" w:color="auto" w:sz="6" w:space="1"/>
        <w:bottom w:val="single" w:color="auto" w:sz="6" w:space="1"/>
        <w:right w:val="single" w:color="auto" w:sz="6" w:space="1"/>
      </w:pBdr>
      <w:shd w:val="pct20" w:color="auto" w:fill="auto"/>
      <w:ind w:left="1080" w:hanging="1080"/>
      <w:jc w:val="left"/>
    </w:pPr>
    <w:rPr>
      <w:rFonts w:ascii="Arial" w:hAnsi="Arial" w:cs="Arial"/>
      <w:szCs w:val="24"/>
    </w:rPr>
  </w:style>
  <w:style w:type="paragraph" w:styleId="80">
    <w:name w:val="HTML Preformatted"/>
    <w:basedOn w:val="1"/>
    <w:link w:val="112"/>
    <w:qFormat/>
    <w:uiPriority w:val="0"/>
    <w:pPr>
      <w:jc w:val="left"/>
    </w:pPr>
    <w:rPr>
      <w:rFonts w:ascii="Courier New" w:hAnsi="Courier New" w:cs="Courier New"/>
      <w:sz w:val="20"/>
    </w:rPr>
  </w:style>
  <w:style w:type="paragraph" w:styleId="81">
    <w:name w:val="Normal (Web)"/>
    <w:basedOn w:val="1"/>
    <w:qFormat/>
    <w:uiPriority w:val="0"/>
    <w:pPr>
      <w:jc w:val="left"/>
    </w:pPr>
    <w:rPr>
      <w:szCs w:val="24"/>
    </w:rPr>
  </w:style>
  <w:style w:type="paragraph" w:styleId="82">
    <w:name w:val="List Continue 3"/>
    <w:basedOn w:val="1"/>
    <w:qFormat/>
    <w:uiPriority w:val="0"/>
    <w:pPr>
      <w:spacing w:after="120"/>
      <w:ind w:left="1080"/>
      <w:jc w:val="left"/>
    </w:pPr>
    <w:rPr>
      <w:sz w:val="20"/>
    </w:rPr>
  </w:style>
  <w:style w:type="paragraph" w:styleId="83">
    <w:name w:val="index 2"/>
    <w:basedOn w:val="1"/>
    <w:next w:val="1"/>
    <w:semiHidden/>
    <w:qFormat/>
    <w:uiPriority w:val="0"/>
    <w:pPr>
      <w:ind w:left="400" w:hanging="200"/>
      <w:jc w:val="left"/>
    </w:pPr>
    <w:rPr>
      <w:sz w:val="20"/>
    </w:rPr>
  </w:style>
  <w:style w:type="paragraph" w:styleId="84">
    <w:name w:val="Title"/>
    <w:basedOn w:val="1"/>
    <w:qFormat/>
    <w:uiPriority w:val="0"/>
    <w:pPr>
      <w:jc w:val="center"/>
    </w:pPr>
    <w:rPr>
      <w:b/>
      <w:sz w:val="48"/>
    </w:rPr>
  </w:style>
  <w:style w:type="paragraph" w:styleId="85">
    <w:name w:val="annotation subject"/>
    <w:basedOn w:val="28"/>
    <w:next w:val="28"/>
    <w:link w:val="113"/>
    <w:semiHidden/>
    <w:qFormat/>
    <w:uiPriority w:val="0"/>
    <w:rPr>
      <w:b/>
      <w:bCs/>
    </w:rPr>
  </w:style>
  <w:style w:type="paragraph" w:styleId="86">
    <w:name w:val="Body Text First Indent"/>
    <w:basedOn w:val="34"/>
    <w:link w:val="114"/>
    <w:qFormat/>
    <w:uiPriority w:val="0"/>
    <w:pPr>
      <w:spacing w:after="120"/>
      <w:ind w:firstLine="210"/>
      <w:jc w:val="left"/>
    </w:pPr>
    <w:rPr>
      <w:sz w:val="20"/>
    </w:rPr>
  </w:style>
  <w:style w:type="paragraph" w:styleId="87">
    <w:name w:val="Body Text First Indent 2"/>
    <w:basedOn w:val="35"/>
    <w:link w:val="115"/>
    <w:qFormat/>
    <w:uiPriority w:val="0"/>
    <w:pPr>
      <w:spacing w:after="120"/>
      <w:ind w:left="360" w:firstLine="210"/>
      <w:jc w:val="left"/>
    </w:pPr>
    <w:rPr>
      <w:sz w:val="20"/>
    </w:rPr>
  </w:style>
  <w:style w:type="table" w:styleId="89">
    <w:name w:val="Table Grid"/>
    <w:basedOn w:val="8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page number"/>
    <w:qFormat/>
    <w:uiPriority w:val="0"/>
  </w:style>
  <w:style w:type="character" w:styleId="92">
    <w:name w:val="FollowedHyperlink"/>
    <w:qFormat/>
    <w:uiPriority w:val="0"/>
    <w:rPr>
      <w:color w:val="800080"/>
      <w:u w:val="single"/>
    </w:rPr>
  </w:style>
  <w:style w:type="character" w:styleId="93">
    <w:name w:val="Hyperlink"/>
    <w:qFormat/>
    <w:uiPriority w:val="0"/>
    <w:rPr>
      <w:color w:val="0000FF"/>
      <w:u w:val="single"/>
    </w:rPr>
  </w:style>
  <w:style w:type="character" w:styleId="94">
    <w:name w:val="annotation reference"/>
    <w:semiHidden/>
    <w:qFormat/>
    <w:uiPriority w:val="0"/>
    <w:rPr>
      <w:sz w:val="16"/>
    </w:rPr>
  </w:style>
  <w:style w:type="character" w:styleId="95">
    <w:name w:val="footnote reference"/>
    <w:semiHidden/>
    <w:qFormat/>
    <w:uiPriority w:val="0"/>
    <w:rPr>
      <w:vertAlign w:val="superscript"/>
    </w:rPr>
  </w:style>
  <w:style w:type="character" w:customStyle="1" w:styleId="96">
    <w:name w:val="Macro Text Char"/>
    <w:link w:val="2"/>
    <w:semiHidden/>
    <w:qFormat/>
    <w:uiPriority w:val="0"/>
    <w:rPr>
      <w:rFonts w:ascii="Courier New" w:hAnsi="Courier New" w:cs="Courier New"/>
    </w:rPr>
  </w:style>
  <w:style w:type="character" w:customStyle="1" w:styleId="97">
    <w:name w:val="Note Heading Char"/>
    <w:link w:val="16"/>
    <w:qFormat/>
    <w:uiPriority w:val="0"/>
  </w:style>
  <w:style w:type="character" w:customStyle="1" w:styleId="98">
    <w:name w:val="E-mail Signature Char"/>
    <w:link w:val="19"/>
    <w:qFormat/>
    <w:uiPriority w:val="0"/>
  </w:style>
  <w:style w:type="character" w:customStyle="1" w:styleId="99">
    <w:name w:val="Comment Text Char"/>
    <w:link w:val="28"/>
    <w:semiHidden/>
    <w:qFormat/>
    <w:uiPriority w:val="0"/>
  </w:style>
  <w:style w:type="character" w:customStyle="1" w:styleId="100">
    <w:name w:val="Salutation Char"/>
    <w:link w:val="30"/>
    <w:qFormat/>
    <w:uiPriority w:val="0"/>
  </w:style>
  <w:style w:type="character" w:customStyle="1" w:styleId="101">
    <w:name w:val="Closing Char"/>
    <w:link w:val="32"/>
    <w:qFormat/>
    <w:uiPriority w:val="0"/>
  </w:style>
  <w:style w:type="character" w:customStyle="1" w:styleId="102">
    <w:name w:val="Body Text Char"/>
    <w:link w:val="34"/>
    <w:qFormat/>
    <w:uiPriority w:val="0"/>
    <w:rPr>
      <w:sz w:val="24"/>
    </w:rPr>
  </w:style>
  <w:style w:type="character" w:customStyle="1" w:styleId="103">
    <w:name w:val="Body Text Indent Char"/>
    <w:link w:val="35"/>
    <w:qFormat/>
    <w:uiPriority w:val="0"/>
    <w:rPr>
      <w:sz w:val="24"/>
    </w:rPr>
  </w:style>
  <w:style w:type="character" w:customStyle="1" w:styleId="104">
    <w:name w:val="HTML Address Char"/>
    <w:link w:val="41"/>
    <w:qFormat/>
    <w:uiPriority w:val="0"/>
    <w:rPr>
      <w:i/>
      <w:iCs/>
    </w:rPr>
  </w:style>
  <w:style w:type="character" w:customStyle="1" w:styleId="105">
    <w:name w:val="Plain Text Char"/>
    <w:link w:val="45"/>
    <w:qFormat/>
    <w:uiPriority w:val="0"/>
    <w:rPr>
      <w:rFonts w:ascii="Courier New" w:hAnsi="Courier New" w:cs="Courier New"/>
    </w:rPr>
  </w:style>
  <w:style w:type="character" w:customStyle="1" w:styleId="106">
    <w:name w:val="Date Char"/>
    <w:link w:val="50"/>
    <w:qFormat/>
    <w:uiPriority w:val="0"/>
  </w:style>
  <w:style w:type="character" w:customStyle="1" w:styleId="107">
    <w:name w:val="Endnote Text Char"/>
    <w:link w:val="52"/>
    <w:semiHidden/>
    <w:qFormat/>
    <w:uiPriority w:val="0"/>
  </w:style>
  <w:style w:type="character" w:customStyle="1" w:styleId="108">
    <w:name w:val="Balloon Text Char"/>
    <w:link w:val="54"/>
    <w:semiHidden/>
    <w:qFormat/>
    <w:uiPriority w:val="0"/>
    <w:rPr>
      <w:rFonts w:ascii="Tahoma" w:hAnsi="Tahoma" w:cs="Tahoma"/>
      <w:sz w:val="16"/>
      <w:szCs w:val="16"/>
    </w:rPr>
  </w:style>
  <w:style w:type="character" w:customStyle="1" w:styleId="109">
    <w:name w:val="Header Char"/>
    <w:link w:val="57"/>
    <w:qFormat/>
    <w:locked/>
    <w:uiPriority w:val="99"/>
  </w:style>
  <w:style w:type="character" w:customStyle="1" w:styleId="110">
    <w:name w:val="Signature Char"/>
    <w:link w:val="58"/>
    <w:qFormat/>
    <w:uiPriority w:val="0"/>
  </w:style>
  <w:style w:type="character" w:customStyle="1" w:styleId="111">
    <w:name w:val="Message Header Char"/>
    <w:link w:val="79"/>
    <w:qFormat/>
    <w:uiPriority w:val="0"/>
    <w:rPr>
      <w:rFonts w:ascii="Arial" w:hAnsi="Arial" w:cs="Arial"/>
      <w:sz w:val="24"/>
      <w:szCs w:val="24"/>
      <w:shd w:val="pct20" w:color="auto" w:fill="auto"/>
    </w:rPr>
  </w:style>
  <w:style w:type="character" w:customStyle="1" w:styleId="112">
    <w:name w:val="HTML Preformatted Char"/>
    <w:link w:val="80"/>
    <w:qFormat/>
    <w:uiPriority w:val="0"/>
    <w:rPr>
      <w:rFonts w:ascii="Courier New" w:hAnsi="Courier New" w:cs="Courier New"/>
    </w:rPr>
  </w:style>
  <w:style w:type="character" w:customStyle="1" w:styleId="113">
    <w:name w:val="Comment Subject Char"/>
    <w:link w:val="85"/>
    <w:semiHidden/>
    <w:qFormat/>
    <w:uiPriority w:val="0"/>
    <w:rPr>
      <w:b/>
      <w:bCs/>
    </w:rPr>
  </w:style>
  <w:style w:type="character" w:customStyle="1" w:styleId="114">
    <w:name w:val="Body Text First Indent Char"/>
    <w:link w:val="86"/>
    <w:qFormat/>
    <w:uiPriority w:val="0"/>
  </w:style>
  <w:style w:type="character" w:customStyle="1" w:styleId="115">
    <w:name w:val="Body Text First Indent 2 Char"/>
    <w:link w:val="87"/>
    <w:qFormat/>
    <w:uiPriority w:val="0"/>
  </w:style>
  <w:style w:type="character" w:customStyle="1" w:styleId="116">
    <w:name w:val="Header 2 - SubClauses Char Char"/>
    <w:link w:val="117"/>
    <w:qFormat/>
    <w:uiPriority w:val="0"/>
    <w:rPr>
      <w:sz w:val="24"/>
    </w:rPr>
  </w:style>
  <w:style w:type="paragraph" w:customStyle="1" w:styleId="117">
    <w:name w:val="Header 2 - SubClauses"/>
    <w:basedOn w:val="1"/>
    <w:link w:val="116"/>
    <w:qFormat/>
    <w:uiPriority w:val="0"/>
    <w:pPr>
      <w:tabs>
        <w:tab w:val="left" w:pos="619"/>
      </w:tabs>
      <w:spacing w:after="200"/>
      <w:ind w:left="619" w:hanging="619"/>
    </w:pPr>
  </w:style>
  <w:style w:type="character" w:customStyle="1" w:styleId="118">
    <w:name w:val="transsent"/>
    <w:qFormat/>
    <w:uiPriority w:val="0"/>
  </w:style>
  <w:style w:type="character" w:customStyle="1" w:styleId="119">
    <w:name w:val="Table"/>
    <w:qFormat/>
    <w:uiPriority w:val="99"/>
    <w:rPr>
      <w:rFonts w:ascii="Arial" w:hAnsi="Arial"/>
      <w:sz w:val="20"/>
    </w:rPr>
  </w:style>
  <w:style w:type="paragraph" w:customStyle="1" w:styleId="120">
    <w:name w:val="Level 2 (alternative)"/>
    <w:basedOn w:val="1"/>
    <w:qFormat/>
    <w:uiPriority w:val="0"/>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121">
    <w:name w:val="Footnote (no line)"/>
    <w:basedOn w:val="122"/>
    <w:qFormat/>
    <w:uiPriority w:val="0"/>
    <w:pPr>
      <w:pBdr>
        <w:top w:val="none" w:color="auto" w:sz="0" w:space="0"/>
        <w:between w:val="none" w:color="auto" w:sz="0" w:space="0"/>
      </w:pBdr>
      <w:tabs>
        <w:tab w:val="left" w:pos="283"/>
        <w:tab w:val="left" w:pos="420"/>
      </w:tabs>
      <w:spacing w:after="120"/>
    </w:pPr>
  </w:style>
  <w:style w:type="paragraph" w:customStyle="1" w:styleId="122">
    <w:name w:val="Footnote (1st line)"/>
    <w:basedOn w:val="34"/>
    <w:qFormat/>
    <w:uiPriority w:val="0"/>
    <w:pPr>
      <w:pBdr>
        <w:top w:val="single" w:color="auto" w:sz="2" w:space="0"/>
        <w:between w:val="single" w:color="auto" w:sz="2" w:space="5"/>
      </w:pBdr>
      <w:tabs>
        <w:tab w:val="left" w:pos="283"/>
      </w:tabs>
      <w:ind w:left="283" w:hanging="283"/>
    </w:pPr>
    <w:rPr>
      <w:rFonts w:ascii="Optima" w:hAnsi="Optima"/>
      <w:sz w:val="15"/>
    </w:rPr>
  </w:style>
  <w:style w:type="paragraph" w:customStyle="1" w:styleId="123">
    <w:name w:val="Section VII Header2"/>
    <w:basedOn w:val="3"/>
    <w:qFormat/>
    <w:uiPriority w:val="0"/>
    <w:pPr>
      <w:numPr>
        <w:ilvl w:val="0"/>
        <w:numId w:val="13"/>
      </w:numPr>
    </w:pPr>
    <w:rPr>
      <w:sz w:val="32"/>
    </w:rPr>
  </w:style>
  <w:style w:type="paragraph" w:customStyle="1" w:styleId="124">
    <w:name w:val="Bids (3d level)"/>
    <w:basedOn w:val="1"/>
    <w:qFormat/>
    <w:uiPriority w:val="0"/>
    <w:pPr>
      <w:tabs>
        <w:tab w:val="left" w:pos="1020"/>
        <w:tab w:val="left" w:pos="1474"/>
      </w:tabs>
      <w:spacing w:line="270" w:lineRule="atLeast"/>
      <w:ind w:left="1474" w:right="454" w:hanging="1020"/>
    </w:pPr>
    <w:rPr>
      <w:rFonts w:ascii="Optima" w:hAnsi="Optima"/>
      <w:i/>
      <w:sz w:val="22"/>
    </w:rPr>
  </w:style>
  <w:style w:type="paragraph" w:customStyle="1" w:styleId="125">
    <w:name w:val="Foot (no line Body)"/>
    <w:basedOn w:val="1"/>
    <w:qFormat/>
    <w:uiPriority w:val="0"/>
    <w:pPr>
      <w:tabs>
        <w:tab w:val="left" w:pos="283"/>
      </w:tabs>
      <w:ind w:left="283" w:hanging="283"/>
    </w:pPr>
    <w:rPr>
      <w:rFonts w:ascii="Optima" w:hAnsi="Optima"/>
      <w:sz w:val="15"/>
    </w:rPr>
  </w:style>
  <w:style w:type="paragraph" w:customStyle="1" w:styleId="126">
    <w:name w:val="Section Title"/>
    <w:next w:val="1"/>
    <w:qFormat/>
    <w:uiPriority w:val="0"/>
    <w:pPr>
      <w:spacing w:after="200"/>
      <w:jc w:val="center"/>
    </w:pPr>
    <w:rPr>
      <w:rFonts w:ascii="Arial" w:hAnsi="Arial" w:eastAsia="宋体" w:cs="Times New Roman"/>
      <w:b/>
      <w:sz w:val="44"/>
      <w:lang w:val="en-GB" w:eastAsia="en-US" w:bidi="ar-SA"/>
    </w:rPr>
  </w:style>
  <w:style w:type="paragraph" w:customStyle="1" w:styleId="127">
    <w:name w:val="Outline1"/>
    <w:basedOn w:val="128"/>
    <w:next w:val="129"/>
    <w:qFormat/>
    <w:uiPriority w:val="0"/>
    <w:pPr>
      <w:keepNext/>
      <w:tabs>
        <w:tab w:val="left" w:pos="360"/>
        <w:tab w:val="left" w:pos="720"/>
      </w:tabs>
      <w:ind w:left="360" w:hanging="360"/>
    </w:pPr>
  </w:style>
  <w:style w:type="paragraph" w:customStyle="1" w:styleId="128">
    <w:name w:val="Outline"/>
    <w:basedOn w:val="1"/>
    <w:qFormat/>
    <w:uiPriority w:val="0"/>
    <w:pPr>
      <w:spacing w:before="240"/>
      <w:jc w:val="left"/>
    </w:pPr>
    <w:rPr>
      <w:kern w:val="28"/>
    </w:rPr>
  </w:style>
  <w:style w:type="paragraph" w:customStyle="1" w:styleId="129">
    <w:name w:val="Outline2"/>
    <w:basedOn w:val="1"/>
    <w:qFormat/>
    <w:uiPriority w:val="0"/>
    <w:pPr>
      <w:tabs>
        <w:tab w:val="left" w:pos="360"/>
        <w:tab w:val="left" w:pos="720"/>
        <w:tab w:val="left" w:pos="864"/>
      </w:tabs>
      <w:spacing w:before="240"/>
      <w:ind w:left="864" w:hanging="504"/>
      <w:jc w:val="left"/>
    </w:pPr>
    <w:rPr>
      <w:kern w:val="28"/>
    </w:rPr>
  </w:style>
  <w:style w:type="paragraph" w:customStyle="1" w:styleId="130">
    <w:name w:val="Outline4"/>
    <w:basedOn w:val="1"/>
    <w:qFormat/>
    <w:uiPriority w:val="0"/>
    <w:pPr>
      <w:numPr>
        <w:ilvl w:val="3"/>
        <w:numId w:val="14"/>
      </w:numPr>
      <w:tabs>
        <w:tab w:val="left" w:pos="1872"/>
        <w:tab w:val="clear" w:pos="2304"/>
      </w:tabs>
      <w:spacing w:before="240"/>
      <w:ind w:left="1872" w:hanging="504"/>
      <w:jc w:val="left"/>
    </w:pPr>
    <w:rPr>
      <w:kern w:val="28"/>
    </w:rPr>
  </w:style>
  <w:style w:type="paragraph" w:customStyle="1" w:styleId="131">
    <w:name w:val="outlinebullet"/>
    <w:basedOn w:val="1"/>
    <w:qFormat/>
    <w:uiPriority w:val="0"/>
    <w:pPr>
      <w:tabs>
        <w:tab w:val="left" w:pos="720"/>
        <w:tab w:val="left" w:pos="1440"/>
      </w:tabs>
      <w:spacing w:before="120"/>
      <w:ind w:left="1440" w:hanging="450"/>
      <w:jc w:val="left"/>
    </w:pPr>
  </w:style>
  <w:style w:type="paragraph" w:customStyle="1" w:styleId="132">
    <w:name w:val="Level 1 (1st indent)"/>
    <w:basedOn w:val="133"/>
    <w:qFormat/>
    <w:uiPriority w:val="0"/>
    <w:pPr>
      <w:tabs>
        <w:tab w:val="left" w:pos="454"/>
        <w:tab w:val="left" w:pos="1020"/>
      </w:tabs>
    </w:pPr>
    <w:rPr>
      <w:color w:val="auto"/>
    </w:rPr>
  </w:style>
  <w:style w:type="paragraph" w:customStyle="1" w:styleId="133">
    <w:name w:val="Level 1 (Body)"/>
    <w:qFormat/>
    <w:uiPriority w:val="0"/>
    <w:pPr>
      <w:tabs>
        <w:tab w:val="left" w:pos="454"/>
      </w:tabs>
      <w:spacing w:line="270" w:lineRule="atLeast"/>
      <w:ind w:left="454" w:hanging="425"/>
      <w:jc w:val="both"/>
    </w:pPr>
    <w:rPr>
      <w:rFonts w:ascii="Optima" w:hAnsi="Optima" w:eastAsia="宋体" w:cs="Times New Roman"/>
      <w:color w:val="000000"/>
      <w:sz w:val="22"/>
      <w:lang w:val="en-US" w:eastAsia="en-US" w:bidi="ar-SA"/>
    </w:rPr>
  </w:style>
  <w:style w:type="paragraph" w:customStyle="1" w:styleId="134">
    <w:name w:val="Head 1.2"/>
    <w:basedOn w:val="1"/>
    <w:qFormat/>
    <w:uiPriority w:val="99"/>
    <w:pPr>
      <w:numPr>
        <w:ilvl w:val="1"/>
        <w:numId w:val="15"/>
      </w:numPr>
    </w:pPr>
    <w:rPr>
      <w:rFonts w:ascii="Arial" w:hAnsi="Arial"/>
      <w:sz w:val="20"/>
    </w:rPr>
  </w:style>
  <w:style w:type="paragraph" w:customStyle="1" w:styleId="135">
    <w:name w:val="Document 1"/>
    <w:qFormat/>
    <w:uiPriority w:val="0"/>
    <w:pPr>
      <w:keepNext/>
      <w:keepLines/>
      <w:tabs>
        <w:tab w:val="left" w:pos="-720"/>
      </w:tabs>
      <w:suppressAutoHyphens/>
    </w:pPr>
    <w:rPr>
      <w:rFonts w:ascii="Courier New" w:hAnsi="Courier New" w:eastAsia="宋体" w:cs="Times New Roman"/>
      <w:lang w:val="en-US" w:eastAsia="en-US" w:bidi="ar-SA"/>
    </w:rPr>
  </w:style>
  <w:style w:type="paragraph" w:customStyle="1" w:styleId="136">
    <w:name w:val="Level 3 (Body)"/>
    <w:qFormat/>
    <w:uiPriority w:val="0"/>
    <w:pPr>
      <w:tabs>
        <w:tab w:val="left" w:pos="1502"/>
      </w:tabs>
      <w:spacing w:line="270" w:lineRule="atLeast"/>
      <w:ind w:left="1502" w:hanging="425"/>
      <w:jc w:val="both"/>
    </w:pPr>
    <w:rPr>
      <w:rFonts w:ascii="Optima" w:hAnsi="Optima" w:eastAsia="宋体" w:cs="Times New Roman"/>
      <w:sz w:val="22"/>
      <w:lang w:val="en-US" w:eastAsia="en-US" w:bidi="ar-SA"/>
    </w:rPr>
  </w:style>
  <w:style w:type="paragraph" w:customStyle="1" w:styleId="137">
    <w:name w:val="Heading 41"/>
    <w:basedOn w:val="1"/>
    <w:qFormat/>
    <w:uiPriority w:val="0"/>
    <w:pPr>
      <w:numPr>
        <w:ilvl w:val="3"/>
        <w:numId w:val="16"/>
      </w:numPr>
      <w:jc w:val="left"/>
    </w:pPr>
    <w:rPr>
      <w:sz w:val="20"/>
    </w:rPr>
  </w:style>
  <w:style w:type="paragraph" w:customStyle="1" w:styleId="138">
    <w:name w:val="Technical 4"/>
    <w:qFormat/>
    <w:uiPriority w:val="99"/>
    <w:pPr>
      <w:tabs>
        <w:tab w:val="left" w:pos="-720"/>
      </w:tabs>
      <w:suppressAutoHyphens/>
    </w:pPr>
    <w:rPr>
      <w:rFonts w:ascii="Times" w:hAnsi="Times" w:eastAsia="宋体" w:cs="Times New Roman"/>
      <w:b/>
      <w:sz w:val="24"/>
      <w:lang w:val="en-US" w:eastAsia="en-US" w:bidi="ar-SA"/>
    </w:rPr>
  </w:style>
  <w:style w:type="paragraph" w:customStyle="1" w:styleId="139">
    <w:name w:val="Sub-Clause Text"/>
    <w:basedOn w:val="1"/>
    <w:qFormat/>
    <w:uiPriority w:val="0"/>
    <w:pPr>
      <w:spacing w:before="120" w:after="120"/>
    </w:pPr>
    <w:rPr>
      <w:spacing w:val="-4"/>
    </w:rPr>
  </w:style>
  <w:style w:type="paragraph" w:customStyle="1" w:styleId="140">
    <w:name w:val="Enclosure"/>
    <w:basedOn w:val="1"/>
    <w:qFormat/>
    <w:uiPriority w:val="99"/>
    <w:pPr>
      <w:jc w:val="left"/>
    </w:pPr>
    <w:rPr>
      <w:szCs w:val="24"/>
    </w:rPr>
  </w:style>
  <w:style w:type="paragraph" w:customStyle="1" w:styleId="141">
    <w:name w:val="Header 1 - Clauses"/>
    <w:basedOn w:val="1"/>
    <w:qFormat/>
    <w:uiPriority w:val="0"/>
    <w:pPr>
      <w:tabs>
        <w:tab w:val="left" w:pos="432"/>
      </w:tabs>
      <w:ind w:left="432" w:hanging="432"/>
      <w:jc w:val="left"/>
    </w:pPr>
    <w:rPr>
      <w:b/>
    </w:rPr>
  </w:style>
  <w:style w:type="paragraph" w:customStyle="1" w:styleId="142">
    <w:name w:val="Bids (Hang indent)"/>
    <w:qFormat/>
    <w:uiPriority w:val="0"/>
    <w:pPr>
      <w:tabs>
        <w:tab w:val="decimal" w:pos="680"/>
        <w:tab w:val="left" w:pos="1134"/>
      </w:tabs>
      <w:spacing w:line="270" w:lineRule="atLeast"/>
      <w:ind w:left="1106" w:right="454" w:hanging="652"/>
      <w:jc w:val="both"/>
    </w:pPr>
    <w:rPr>
      <w:rFonts w:ascii="Optima" w:hAnsi="Optima" w:eastAsia="宋体" w:cs="Times New Roman"/>
      <w:sz w:val="22"/>
      <w:lang w:val="en-US" w:eastAsia="en-US" w:bidi="ar-SA"/>
    </w:rPr>
  </w:style>
  <w:style w:type="paragraph" w:customStyle="1" w:styleId="143">
    <w:name w:val="Form Table Title"/>
    <w:next w:val="34"/>
    <w:qFormat/>
    <w:uiPriority w:val="0"/>
    <w:pPr>
      <w:keepNext/>
      <w:tabs>
        <w:tab w:val="right" w:pos="369"/>
        <w:tab w:val="left" w:pos="510"/>
        <w:tab w:val="left" w:pos="1701"/>
      </w:tabs>
      <w:spacing w:line="270" w:lineRule="atLeast"/>
      <w:jc w:val="center"/>
    </w:pPr>
    <w:rPr>
      <w:rFonts w:ascii="Optima" w:hAnsi="Optima" w:eastAsia="宋体" w:cs="Times New Roman"/>
      <w:b/>
      <w:i/>
      <w:sz w:val="22"/>
      <w:lang w:val="en-US" w:eastAsia="en-US" w:bidi="ar-SA"/>
    </w:rPr>
  </w:style>
  <w:style w:type="paragraph" w:customStyle="1" w:styleId="144">
    <w:name w:val="Table 1 Tab"/>
    <w:next w:val="34"/>
    <w:qFormat/>
    <w:uiPriority w:val="0"/>
    <w:pPr>
      <w:tabs>
        <w:tab w:val="center" w:pos="567"/>
        <w:tab w:val="center" w:pos="1757"/>
        <w:tab w:val="center" w:pos="3005"/>
        <w:tab w:val="center" w:pos="4195"/>
        <w:tab w:val="center" w:pos="5443"/>
        <w:tab w:val="center" w:pos="6690"/>
        <w:tab w:val="center" w:pos="7880"/>
      </w:tabs>
    </w:pPr>
    <w:rPr>
      <w:rFonts w:ascii="Optima" w:hAnsi="Optima" w:eastAsia="宋体" w:cs="Times New Roman"/>
      <w:sz w:val="17"/>
      <w:lang w:val="en-US" w:eastAsia="en-US" w:bidi="ar-SA"/>
    </w:rPr>
  </w:style>
  <w:style w:type="paragraph" w:customStyle="1" w:styleId="145">
    <w:name w:val="Section V. Header"/>
    <w:basedOn w:val="1"/>
    <w:qFormat/>
    <w:uiPriority w:val="99"/>
    <w:pPr>
      <w:jc w:val="center"/>
    </w:pPr>
    <w:rPr>
      <w:b/>
      <w:sz w:val="36"/>
    </w:rPr>
  </w:style>
  <w:style w:type="paragraph" w:customStyle="1" w:styleId="146">
    <w:name w:val="Level 2 (Body)"/>
    <w:next w:val="1"/>
    <w:qFormat/>
    <w:uiPriority w:val="0"/>
    <w:pPr>
      <w:tabs>
        <w:tab w:val="left" w:pos="1077"/>
        <w:tab w:val="right" w:pos="1247"/>
        <w:tab w:val="left" w:pos="1587"/>
        <w:tab w:val="left" w:pos="1928"/>
      </w:tabs>
      <w:spacing w:line="270" w:lineRule="atLeast"/>
      <w:ind w:left="1077" w:hanging="623"/>
      <w:jc w:val="both"/>
    </w:pPr>
    <w:rPr>
      <w:rFonts w:ascii="Optima" w:hAnsi="Optima" w:eastAsia="宋体" w:cs="Times New Roman"/>
      <w:sz w:val="22"/>
      <w:lang w:val="en-US" w:eastAsia="en-US" w:bidi="ar-SA"/>
    </w:rPr>
  </w:style>
  <w:style w:type="paragraph" w:customStyle="1" w:styleId="147">
    <w:name w:val="Subtitle 2"/>
    <w:basedOn w:val="55"/>
    <w:qFormat/>
    <w:uiPriority w:val="0"/>
    <w:pPr>
      <w:tabs>
        <w:tab w:val="clear" w:pos="9504"/>
      </w:tabs>
      <w:spacing w:before="0"/>
      <w:jc w:val="center"/>
    </w:pPr>
    <w:rPr>
      <w:b/>
      <w:sz w:val="44"/>
    </w:rPr>
  </w:style>
  <w:style w:type="paragraph" w:customStyle="1" w:styleId="148">
    <w:name w:val="Note Tab"/>
    <w:next w:val="34"/>
    <w:qFormat/>
    <w:uiPriority w:val="0"/>
    <w:pPr>
      <w:tabs>
        <w:tab w:val="left" w:pos="737"/>
      </w:tabs>
      <w:spacing w:line="270" w:lineRule="atLeast"/>
      <w:ind w:left="737" w:hanging="737"/>
      <w:jc w:val="both"/>
    </w:pPr>
    <w:rPr>
      <w:rFonts w:ascii="Optima" w:hAnsi="Optima" w:eastAsia="宋体" w:cs="Times New Roman"/>
      <w:sz w:val="22"/>
      <w:lang w:val="en-US" w:eastAsia="en-US" w:bidi="ar-SA"/>
    </w:rPr>
  </w:style>
  <w:style w:type="paragraph" w:customStyle="1" w:styleId="149">
    <w:name w:val="Block Quotation"/>
    <w:basedOn w:val="1"/>
    <w:qFormat/>
    <w:uiPriority w:val="0"/>
    <w:pPr>
      <w:ind w:left="855" w:right="-72" w:hanging="315"/>
    </w:pPr>
  </w:style>
  <w:style w:type="paragraph" w:customStyle="1" w:styleId="150">
    <w:name w:val="Subtitle 2 (1)"/>
    <w:basedOn w:val="151"/>
    <w:qFormat/>
    <w:uiPriority w:val="0"/>
    <w:pPr>
      <w:tabs>
        <w:tab w:val="left" w:pos="720"/>
      </w:tabs>
      <w:spacing w:after="180"/>
      <w:jc w:val="both"/>
    </w:pPr>
    <w:rPr>
      <w:b/>
      <w:sz w:val="28"/>
      <w:lang w:val="en-GB"/>
    </w:rPr>
  </w:style>
  <w:style w:type="paragraph" w:customStyle="1" w:styleId="151">
    <w:name w:val="BankNormal"/>
    <w:basedOn w:val="1"/>
    <w:qFormat/>
    <w:uiPriority w:val="99"/>
    <w:pPr>
      <w:spacing w:after="240"/>
      <w:jc w:val="left"/>
    </w:pPr>
  </w:style>
  <w:style w:type="paragraph" w:customStyle="1" w:styleId="152">
    <w:name w:val="Part 1"/>
    <w:basedOn w:val="1"/>
    <w:qFormat/>
    <w:uiPriority w:val="0"/>
    <w:pPr>
      <w:spacing w:before="240" w:after="240"/>
      <w:jc w:val="center"/>
    </w:pPr>
    <w:rPr>
      <w:b/>
      <w:sz w:val="52"/>
    </w:rPr>
  </w:style>
  <w:style w:type="paragraph" w:customStyle="1" w:styleId="153">
    <w:name w:val="Level 4 (Body)"/>
    <w:qFormat/>
    <w:uiPriority w:val="0"/>
    <w:pPr>
      <w:tabs>
        <w:tab w:val="right" w:pos="1786"/>
        <w:tab w:val="left" w:pos="2069"/>
      </w:tabs>
      <w:spacing w:line="270" w:lineRule="atLeast"/>
      <w:ind w:left="2069" w:hanging="595"/>
      <w:jc w:val="both"/>
    </w:pPr>
    <w:rPr>
      <w:rFonts w:ascii="Optima" w:hAnsi="Optima" w:eastAsia="宋体" w:cs="Times New Roman"/>
      <w:sz w:val="22"/>
      <w:lang w:val="en-US" w:eastAsia="en-US" w:bidi="ar-SA"/>
    </w:rPr>
  </w:style>
  <w:style w:type="paragraph" w:styleId="154">
    <w:name w:val="List Paragraph"/>
    <w:basedOn w:val="1"/>
    <w:qFormat/>
    <w:uiPriority w:val="34"/>
    <w:pPr>
      <w:ind w:left="720"/>
      <w:jc w:val="left"/>
    </w:pPr>
    <w:rPr>
      <w:sz w:val="20"/>
    </w:rPr>
  </w:style>
  <w:style w:type="paragraph" w:customStyle="1" w:styleId="155">
    <w:name w:val="explanatory_clause"/>
    <w:basedOn w:val="1"/>
    <w:qFormat/>
    <w:uiPriority w:val="99"/>
    <w:pPr>
      <w:suppressAutoHyphens/>
      <w:spacing w:after="240"/>
      <w:ind w:left="738" w:right="-14" w:hanging="738"/>
      <w:jc w:val="left"/>
    </w:pPr>
    <w:rPr>
      <w:rFonts w:ascii="Arial" w:hAnsi="Arial"/>
      <w:sz w:val="22"/>
    </w:rPr>
  </w:style>
  <w:style w:type="paragraph" w:customStyle="1" w:styleId="156">
    <w:name w:val="2AutoList1"/>
    <w:basedOn w:val="1"/>
    <w:qFormat/>
    <w:uiPriority w:val="0"/>
    <w:pPr>
      <w:numPr>
        <w:ilvl w:val="1"/>
        <w:numId w:val="17"/>
      </w:numPr>
    </w:pPr>
  </w:style>
  <w:style w:type="paragraph" w:customStyle="1" w:styleId="157">
    <w:name w:val="P3 Header1-Clauses"/>
    <w:basedOn w:val="141"/>
    <w:qFormat/>
    <w:uiPriority w:val="0"/>
  </w:style>
  <w:style w:type="paragraph" w:customStyle="1" w:styleId="158">
    <w:name w:val="Outline3"/>
    <w:basedOn w:val="1"/>
    <w:qFormat/>
    <w:uiPriority w:val="0"/>
    <w:pPr>
      <w:numPr>
        <w:ilvl w:val="2"/>
        <w:numId w:val="14"/>
      </w:numPr>
      <w:tabs>
        <w:tab w:val="left" w:pos="1368"/>
        <w:tab w:val="clear" w:pos="1728"/>
      </w:tabs>
      <w:spacing w:before="240"/>
      <w:ind w:left="1368" w:hanging="504"/>
      <w:jc w:val="left"/>
    </w:pPr>
    <w:rPr>
      <w:kern w:val="28"/>
    </w:rPr>
  </w:style>
  <w:style w:type="paragraph" w:customStyle="1" w:styleId="159">
    <w:name w:val="Foot (1st line body)"/>
    <w:qFormat/>
    <w:uiPriority w:val="0"/>
    <w:pPr>
      <w:pBdr>
        <w:top w:val="single" w:color="auto" w:sz="2" w:space="0"/>
        <w:between w:val="single" w:color="auto" w:sz="2" w:space="5"/>
      </w:pBdr>
      <w:tabs>
        <w:tab w:val="left" w:pos="283"/>
      </w:tabs>
      <w:ind w:left="283" w:hanging="283"/>
      <w:jc w:val="both"/>
    </w:pPr>
    <w:rPr>
      <w:rFonts w:ascii="Optima" w:hAnsi="Optima" w:eastAsia="宋体" w:cs="Times New Roman"/>
      <w:color w:val="000000"/>
      <w:sz w:val="15"/>
      <w:lang w:val="en-US" w:eastAsia="en-US" w:bidi="ar-SA"/>
    </w:rPr>
  </w:style>
  <w:style w:type="paragraph" w:customStyle="1" w:styleId="160">
    <w:name w:val="Revision1"/>
    <w:semiHidden/>
    <w:qFormat/>
    <w:uiPriority w:val="99"/>
    <w:rPr>
      <w:rFonts w:ascii="Times New Roman" w:hAnsi="Times New Roman" w:eastAsia="宋体" w:cs="Times New Roman"/>
      <w:lang w:val="en-US" w:eastAsia="en-US" w:bidi="ar-SA"/>
    </w:rPr>
  </w:style>
  <w:style w:type="paragraph" w:customStyle="1" w:styleId="161">
    <w:name w:val="TOC Number1"/>
    <w:basedOn w:val="6"/>
    <w:qFormat/>
    <w:uiPriority w:val="99"/>
    <w:pPr>
      <w:numPr>
        <w:ilvl w:val="0"/>
        <w:numId w:val="0"/>
      </w:numPr>
      <w:tabs>
        <w:tab w:val="left" w:pos="450"/>
      </w:tabs>
      <w:spacing w:before="120" w:after="120"/>
      <w:jc w:val="left"/>
      <w:outlineLvl w:val="9"/>
    </w:pPr>
    <w:rPr>
      <w:b/>
    </w:rPr>
  </w:style>
  <w:style w:type="paragraph" w:customStyle="1" w:styleId="162">
    <w:name w:val="[Basic Paragraph]"/>
    <w:basedOn w:val="1"/>
    <w:qFormat/>
    <w:uiPriority w:val="99"/>
    <w:pPr>
      <w:autoSpaceDE w:val="0"/>
      <w:autoSpaceDN w:val="0"/>
      <w:adjustRightInd w:val="0"/>
      <w:spacing w:line="288" w:lineRule="auto"/>
      <w:jc w:val="left"/>
      <w:textAlignment w:val="center"/>
    </w:pPr>
    <w:rPr>
      <w:rFonts w:ascii="Minion Pro" w:hAnsi="Minion Pro" w:cs="Minion Pro"/>
      <w:color w:val="000000"/>
      <w:szCs w:val="24"/>
      <w:lang w:val="en-GB"/>
    </w:rPr>
  </w:style>
  <w:style w:type="paragraph" w:customStyle="1" w:styleId="163">
    <w:name w:val="(i)"/>
    <w:basedOn w:val="1"/>
    <w:qFormat/>
    <w:uiPriority w:val="0"/>
    <w:pPr>
      <w:suppressAutoHyphens/>
    </w:pPr>
    <w:rPr>
      <w:rFonts w:ascii="Tms Rmn" w:hAnsi="Tms Rmn"/>
    </w:rPr>
  </w:style>
  <w:style w:type="paragraph" w:customStyle="1" w:styleId="164">
    <w:name w:val="Section X Header 3"/>
    <w:basedOn w:val="3"/>
    <w:qFormat/>
    <w:uiPriority w:val="0"/>
    <w:pPr>
      <w:spacing w:after="0"/>
    </w:pPr>
    <w:rPr>
      <w:kern w:val="0"/>
      <w:sz w:val="48"/>
    </w:rPr>
  </w:style>
  <w:style w:type="paragraph" w:customStyle="1" w:styleId="165">
    <w:name w:val="ClauseSub_List"/>
    <w:qFormat/>
    <w:uiPriority w:val="0"/>
    <w:pPr>
      <w:numPr>
        <w:ilvl w:val="0"/>
        <w:numId w:val="18"/>
      </w:numPr>
      <w:suppressAutoHyphens/>
    </w:pPr>
    <w:rPr>
      <w:rFonts w:ascii="Times New Roman" w:hAnsi="Times New Roman" w:eastAsia="宋体" w:cs="Times New Roman"/>
      <w:sz w:val="22"/>
      <w:szCs w:val="22"/>
      <w:lang w:val="en-GB" w:eastAsia="en-US" w:bidi="ar-SA"/>
    </w:rPr>
  </w:style>
  <w:style w:type="paragraph" w:customStyle="1" w:styleId="166">
    <w:name w:val="Header 3 - Paragraph"/>
    <w:basedOn w:val="1"/>
    <w:qFormat/>
    <w:uiPriority w:val="0"/>
    <w:pPr>
      <w:tabs>
        <w:tab w:val="left" w:pos="864"/>
      </w:tabs>
      <w:spacing w:after="200"/>
      <w:ind w:left="1238" w:hanging="619"/>
    </w:pPr>
  </w:style>
  <w:style w:type="paragraph" w:customStyle="1" w:styleId="167">
    <w:name w:val="Revision"/>
    <w:hidden/>
    <w:unhideWhenUsed/>
    <w:qFormat/>
    <w:uiPriority w:val="99"/>
    <w:rPr>
      <w:rFonts w:ascii="Times New Roman" w:hAnsi="Times New Roman" w:eastAsia="宋体" w:cs="Times New Roman"/>
      <w:sz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master</Template>
  <Pages>16</Pages>
  <Words>4557</Words>
  <Characters>24146</Characters>
  <Lines>231</Lines>
  <Paragraphs>65</Paragraphs>
  <TotalTime>0</TotalTime>
  <ScaleCrop>false</ScaleCrop>
  <LinksUpToDate>false</LinksUpToDate>
  <CharactersWithSpaces>28567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COPP/COSO</cp:category>
  <dcterms:created xsi:type="dcterms:W3CDTF">2024-10-16T02:49:00Z</dcterms:created>
  <cp:lastPrinted>2000-07-14T04:01:00Z</cp:lastPrinted>
  <dcterms:modified xsi:type="dcterms:W3CDTF">2025-10-16T07:34:21Z</dcterms:modified>
  <dc:subject>Procurement of Goods</dc:subject>
  <dc:title>SBD-BD-Goods</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AAD8D501970C4DA6AEC8070599E49188</vt:lpwstr>
  </property>
  <property fmtid="{D5CDD505-2E9C-101B-9397-08002B2CF9AE}" pid="4" name="KSOTemplateDocerSaveRecord">
    <vt:lpwstr>eyJoZGlkIjoiNjNmNzg0OGZkNGJkOWI1MDc4YzBlZDg0MzNiZmNiZDkiLCJ1c2VySWQiOiI2OTM3OTgzNTYifQ==</vt:lpwstr>
  </property>
</Properties>
</file>